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3D" w:rsidRDefault="00AA093D"/>
    <w:tbl>
      <w:tblPr>
        <w:tblStyle w:val="TableGrid"/>
        <w:tblW w:w="9016" w:type="dxa"/>
        <w:tblLook w:val="04A0" w:firstRow="1" w:lastRow="0" w:firstColumn="1" w:lastColumn="0" w:noHBand="0" w:noVBand="1"/>
      </w:tblPr>
      <w:tblGrid>
        <w:gridCol w:w="3823"/>
        <w:gridCol w:w="5168"/>
        <w:gridCol w:w="25"/>
      </w:tblGrid>
      <w:tr w:rsidR="008F1E4F" w:rsidTr="00027D9D">
        <w:tc>
          <w:tcPr>
            <w:tcW w:w="9016" w:type="dxa"/>
            <w:gridSpan w:val="3"/>
          </w:tcPr>
          <w:p w:rsidR="00AA093D" w:rsidRDefault="00AA093D" w:rsidP="00AA093D">
            <w:pPr>
              <w:rPr>
                <w:rFonts w:cs="Arial"/>
                <w:b/>
                <w:color w:val="000000"/>
                <w:sz w:val="24"/>
                <w:szCs w:val="24"/>
              </w:rPr>
            </w:pPr>
          </w:p>
          <w:p w:rsidR="008F1E4F" w:rsidRDefault="000F3C70" w:rsidP="00AA093D">
            <w:pPr>
              <w:rPr>
                <w:rFonts w:cs="Arial"/>
                <w:b/>
                <w:sz w:val="24"/>
                <w:szCs w:val="24"/>
              </w:rPr>
            </w:pPr>
            <w:r>
              <w:rPr>
                <w:rFonts w:cs="Arial"/>
                <w:b/>
                <w:sz w:val="24"/>
                <w:szCs w:val="24"/>
              </w:rPr>
              <w:t xml:space="preserve">Strategic </w:t>
            </w:r>
            <w:r w:rsidR="008F1E4F">
              <w:rPr>
                <w:rFonts w:cs="Arial"/>
                <w:b/>
                <w:sz w:val="24"/>
                <w:szCs w:val="24"/>
              </w:rPr>
              <w:t xml:space="preserve"> </w:t>
            </w:r>
            <w:r w:rsidR="00027D9D">
              <w:rPr>
                <w:rFonts w:cs="Arial"/>
                <w:b/>
                <w:sz w:val="24"/>
                <w:szCs w:val="24"/>
              </w:rPr>
              <w:t>Investment Advisory Services</w:t>
            </w:r>
            <w:r w:rsidR="00AA093D">
              <w:rPr>
                <w:rFonts w:cs="Arial"/>
                <w:b/>
                <w:sz w:val="24"/>
                <w:szCs w:val="24"/>
              </w:rPr>
              <w:t xml:space="preserve"> </w:t>
            </w:r>
            <w:r>
              <w:rPr>
                <w:rFonts w:cs="Arial"/>
                <w:b/>
                <w:sz w:val="24"/>
                <w:szCs w:val="24"/>
              </w:rPr>
              <w:t>bid(GEPF01/2018)</w:t>
            </w:r>
          </w:p>
          <w:p w:rsidR="00AA093D" w:rsidRDefault="00AA093D" w:rsidP="00AA093D"/>
        </w:tc>
      </w:tr>
      <w:tr w:rsidR="008F1E4F" w:rsidTr="00027D9D">
        <w:tc>
          <w:tcPr>
            <w:tcW w:w="3823" w:type="dxa"/>
          </w:tcPr>
          <w:p w:rsidR="008F1E4F" w:rsidRDefault="008F1E4F">
            <w:r>
              <w:t>Question:</w:t>
            </w:r>
          </w:p>
        </w:tc>
        <w:tc>
          <w:tcPr>
            <w:tcW w:w="5193" w:type="dxa"/>
            <w:gridSpan w:val="2"/>
          </w:tcPr>
          <w:p w:rsidR="008F1E4F" w:rsidRDefault="008F1E4F">
            <w:r>
              <w:t>Response:</w:t>
            </w:r>
          </w:p>
          <w:p w:rsidR="00AA093D" w:rsidRDefault="00AA093D"/>
        </w:tc>
      </w:tr>
      <w:tr w:rsidR="00027D9D" w:rsidTr="009E2265">
        <w:trPr>
          <w:trHeight w:val="1388"/>
        </w:trPr>
        <w:tc>
          <w:tcPr>
            <w:tcW w:w="3823" w:type="dxa"/>
          </w:tcPr>
          <w:p w:rsidR="00027D9D" w:rsidRPr="00027D9D" w:rsidRDefault="00027D9D" w:rsidP="009E2265">
            <w:pPr>
              <w:pStyle w:val="ListParagraph"/>
              <w:numPr>
                <w:ilvl w:val="0"/>
                <w:numId w:val="7"/>
              </w:numPr>
            </w:pPr>
            <w:r w:rsidRPr="009E2265">
              <w:rPr>
                <w:color w:val="000000"/>
              </w:rPr>
              <w:t>We have a joint venture partnership with an international firm in respect of investment consulting services - would this arrangement suffice?  Does the GEPF have any other conditions in regard of this joint venture partnership?</w:t>
            </w:r>
          </w:p>
        </w:tc>
        <w:tc>
          <w:tcPr>
            <w:tcW w:w="5193" w:type="dxa"/>
            <w:gridSpan w:val="2"/>
          </w:tcPr>
          <w:p w:rsidR="00252697" w:rsidRDefault="00252697" w:rsidP="00027D9D">
            <w:r>
              <w:t xml:space="preserve">The requirements relating to a joint venture follow: </w:t>
            </w:r>
          </w:p>
          <w:p w:rsidR="00027D9D" w:rsidRDefault="00252697" w:rsidP="00252697">
            <w:pPr>
              <w:pStyle w:val="ListParagraph"/>
              <w:numPr>
                <w:ilvl w:val="0"/>
                <w:numId w:val="8"/>
              </w:numPr>
            </w:pPr>
            <w:r w:rsidRPr="00252697">
              <w:t>A joint venture</w:t>
            </w:r>
            <w:r>
              <w:t xml:space="preserve"> legal</w:t>
            </w:r>
            <w:r w:rsidRPr="00252697">
              <w:t xml:space="preserve"> agreement.</w:t>
            </w:r>
          </w:p>
          <w:p w:rsidR="00252697" w:rsidRDefault="00252697" w:rsidP="00252697">
            <w:pPr>
              <w:pStyle w:val="ListParagraph"/>
              <w:numPr>
                <w:ilvl w:val="0"/>
                <w:numId w:val="8"/>
              </w:numPr>
            </w:pPr>
            <w:r w:rsidRPr="00252697">
              <w:t xml:space="preserve">Each party </w:t>
            </w:r>
            <w:r>
              <w:t xml:space="preserve">in the joint venture </w:t>
            </w:r>
            <w:r w:rsidRPr="00252697">
              <w:t>must submit a separate Tax Clearance Certificate.</w:t>
            </w:r>
          </w:p>
          <w:p w:rsidR="00252697" w:rsidRDefault="00252697" w:rsidP="00027D9D">
            <w:bookmarkStart w:id="0" w:name="_GoBack"/>
            <w:bookmarkEnd w:id="0"/>
          </w:p>
        </w:tc>
      </w:tr>
      <w:tr w:rsidR="00027D9D" w:rsidTr="00027D9D">
        <w:tc>
          <w:tcPr>
            <w:tcW w:w="3823" w:type="dxa"/>
          </w:tcPr>
          <w:p w:rsidR="00027D9D" w:rsidRPr="00027D9D" w:rsidRDefault="00027D9D" w:rsidP="009E2265">
            <w:pPr>
              <w:pStyle w:val="ListParagraph"/>
              <w:numPr>
                <w:ilvl w:val="0"/>
                <w:numId w:val="7"/>
              </w:numPr>
            </w:pPr>
            <w:r w:rsidRPr="009E2265">
              <w:rPr>
                <w:color w:val="000000"/>
              </w:rPr>
              <w:t>In terms of pension fund assets under advice, will the joint venture partnership collective assets be appropriate?</w:t>
            </w:r>
          </w:p>
        </w:tc>
        <w:tc>
          <w:tcPr>
            <w:tcW w:w="5193" w:type="dxa"/>
            <w:gridSpan w:val="2"/>
          </w:tcPr>
          <w:p w:rsidR="00027D9D" w:rsidRDefault="00252697" w:rsidP="00027D9D">
            <w:r>
              <w:t>Yes, the collective assets under advice will be appropriate.</w:t>
            </w:r>
          </w:p>
        </w:tc>
      </w:tr>
      <w:tr w:rsidR="00027D9D" w:rsidTr="00027D9D">
        <w:tc>
          <w:tcPr>
            <w:tcW w:w="3823" w:type="dxa"/>
          </w:tcPr>
          <w:p w:rsidR="00027D9D" w:rsidRPr="00027D9D" w:rsidRDefault="00027D9D" w:rsidP="009E2265">
            <w:pPr>
              <w:pStyle w:val="NormalWeb"/>
              <w:numPr>
                <w:ilvl w:val="0"/>
                <w:numId w:val="7"/>
              </w:numPr>
              <w:spacing w:before="0" w:beforeAutospacing="0" w:after="0"/>
              <w:rPr>
                <w:rFonts w:ascii="Calibri" w:hAnsi="Calibri"/>
                <w:color w:val="000000"/>
                <w:sz w:val="22"/>
                <w:szCs w:val="22"/>
              </w:rPr>
            </w:pPr>
            <w:r w:rsidRPr="00027D9D">
              <w:rPr>
                <w:rFonts w:ascii="Calibri" w:hAnsi="Calibri"/>
                <w:color w:val="000000"/>
                <w:sz w:val="22"/>
                <w:szCs w:val="22"/>
              </w:rPr>
              <w:t>Page 13 of the SBD1 form makes reference to "cleaning services".  Can we amend this to "Strategic investment advisory services for a period of three years"?</w:t>
            </w:r>
          </w:p>
        </w:tc>
        <w:tc>
          <w:tcPr>
            <w:tcW w:w="5193" w:type="dxa"/>
            <w:gridSpan w:val="2"/>
          </w:tcPr>
          <w:p w:rsidR="00027D9D" w:rsidRDefault="00252697" w:rsidP="00252697">
            <w:r>
              <w:t>Yes, this was an error that has since been rectified. The corrected RFP is available on the GEPF website.</w:t>
            </w:r>
          </w:p>
        </w:tc>
      </w:tr>
      <w:tr w:rsidR="00027D9D" w:rsidTr="00027D9D">
        <w:tc>
          <w:tcPr>
            <w:tcW w:w="3823" w:type="dxa"/>
          </w:tcPr>
          <w:p w:rsidR="00027D9D" w:rsidRPr="009E2265" w:rsidRDefault="00027D9D" w:rsidP="009E2265">
            <w:pPr>
              <w:pStyle w:val="ListParagraph"/>
              <w:numPr>
                <w:ilvl w:val="0"/>
                <w:numId w:val="7"/>
              </w:numPr>
              <w:rPr>
                <w:rFonts w:eastAsia="Times New Roman"/>
              </w:rPr>
            </w:pPr>
            <w:r w:rsidRPr="009E2265">
              <w:rPr>
                <w:rFonts w:eastAsia="Times New Roman"/>
              </w:rPr>
              <w:t>What is the current staff complement within the middle office function?</w:t>
            </w:r>
          </w:p>
        </w:tc>
        <w:tc>
          <w:tcPr>
            <w:tcW w:w="5193" w:type="dxa"/>
            <w:gridSpan w:val="2"/>
          </w:tcPr>
          <w:p w:rsidR="00027D9D" w:rsidRDefault="00252697" w:rsidP="00027D9D">
            <w:r>
              <w:t>Currently 5 people</w:t>
            </w:r>
          </w:p>
        </w:tc>
      </w:tr>
      <w:tr w:rsidR="00027D9D" w:rsidTr="00027D9D">
        <w:tc>
          <w:tcPr>
            <w:tcW w:w="3823" w:type="dxa"/>
          </w:tcPr>
          <w:p w:rsidR="00027D9D" w:rsidRPr="009E2265" w:rsidRDefault="00027D9D" w:rsidP="009E2265">
            <w:pPr>
              <w:pStyle w:val="ListParagraph"/>
              <w:numPr>
                <w:ilvl w:val="0"/>
                <w:numId w:val="7"/>
              </w:numPr>
              <w:rPr>
                <w:rFonts w:eastAsia="Times New Roman"/>
              </w:rPr>
            </w:pPr>
            <w:r w:rsidRPr="009E2265">
              <w:rPr>
                <w:rFonts w:eastAsia="Times New Roman"/>
              </w:rPr>
              <w:t>Does the GEPF envisage building a capability to produce the investment monitoring services or will these remain with the appointed party?</w:t>
            </w:r>
          </w:p>
        </w:tc>
        <w:tc>
          <w:tcPr>
            <w:tcW w:w="5193" w:type="dxa"/>
            <w:gridSpan w:val="2"/>
          </w:tcPr>
          <w:p w:rsidR="00027D9D" w:rsidRDefault="00252697" w:rsidP="00027D9D">
            <w:r>
              <w:t xml:space="preserve">The GEPF wants to develop the capability to produce the investment monitoring services in-house. </w:t>
            </w:r>
          </w:p>
        </w:tc>
      </w:tr>
      <w:tr w:rsidR="00027D9D" w:rsidTr="00027D9D">
        <w:tc>
          <w:tcPr>
            <w:tcW w:w="3823" w:type="dxa"/>
          </w:tcPr>
          <w:p w:rsidR="00027D9D" w:rsidRPr="009E2265" w:rsidRDefault="00027D9D" w:rsidP="009E2265">
            <w:pPr>
              <w:pStyle w:val="ListParagraph"/>
              <w:numPr>
                <w:ilvl w:val="0"/>
                <w:numId w:val="7"/>
              </w:numPr>
              <w:rPr>
                <w:rFonts w:eastAsia="Times New Roman"/>
              </w:rPr>
            </w:pPr>
            <w:r w:rsidRPr="009E2265">
              <w:rPr>
                <w:rFonts w:eastAsia="Times New Roman"/>
              </w:rPr>
              <w:t>Do we provide separate pricing schedules for each of the three years of appointment or would the GEPF prefer a single schedule</w:t>
            </w:r>
          </w:p>
        </w:tc>
        <w:tc>
          <w:tcPr>
            <w:tcW w:w="5193" w:type="dxa"/>
            <w:gridSpan w:val="2"/>
          </w:tcPr>
          <w:p w:rsidR="00027D9D" w:rsidRDefault="00252697" w:rsidP="00027D9D">
            <w:r>
              <w:t>Please submit a single schedule in the format set out in SBD 3.1</w:t>
            </w:r>
          </w:p>
        </w:tc>
      </w:tr>
      <w:tr w:rsidR="00027D9D" w:rsidTr="00027D9D">
        <w:tc>
          <w:tcPr>
            <w:tcW w:w="3823" w:type="dxa"/>
          </w:tcPr>
          <w:p w:rsidR="00027D9D" w:rsidRPr="00027D9D" w:rsidRDefault="00027D9D" w:rsidP="009E2265">
            <w:pPr>
              <w:pStyle w:val="ListParagraph"/>
              <w:numPr>
                <w:ilvl w:val="0"/>
                <w:numId w:val="7"/>
              </w:numPr>
            </w:pPr>
            <w:r w:rsidRPr="00027D9D">
              <w:t xml:space="preserve">We have recently recruited a new team to provide the requested services.  The team </w:t>
            </w:r>
            <w:r w:rsidRPr="00027D9D">
              <w:lastRenderedPageBreak/>
              <w:t>has significant experience in investment consulting but outside of our business.  Would the team be entitled to apply for the RFP as a new firm?</w:t>
            </w:r>
          </w:p>
          <w:p w:rsidR="00027D9D" w:rsidRPr="00027D9D" w:rsidRDefault="00027D9D" w:rsidP="00027D9D"/>
          <w:p w:rsidR="00027D9D" w:rsidRPr="00027D9D" w:rsidRDefault="00027D9D" w:rsidP="00027D9D">
            <w:pPr>
              <w:ind w:left="720"/>
              <w:rPr>
                <w:rFonts w:eastAsia="Times New Roman"/>
              </w:rPr>
            </w:pPr>
          </w:p>
        </w:tc>
        <w:tc>
          <w:tcPr>
            <w:tcW w:w="5193" w:type="dxa"/>
            <w:gridSpan w:val="2"/>
          </w:tcPr>
          <w:p w:rsidR="00027D9D" w:rsidRDefault="0022284D" w:rsidP="0022284D">
            <w:r>
              <w:lastRenderedPageBreak/>
              <w:t>The team experience is evaluated as one criteria, and the company experience as another.</w:t>
            </w:r>
            <w:r w:rsidR="00EF26CF">
              <w:t xml:space="preserve"> Please refer to the Guide to Responses on pages 9-10. </w:t>
            </w:r>
          </w:p>
        </w:tc>
      </w:tr>
      <w:tr w:rsidR="00027D9D" w:rsidTr="004F01AB">
        <w:trPr>
          <w:gridAfter w:val="1"/>
          <w:wAfter w:w="25" w:type="dxa"/>
          <w:cantSplit/>
          <w:trHeight w:val="1134"/>
        </w:trPr>
        <w:tc>
          <w:tcPr>
            <w:tcW w:w="3823" w:type="dxa"/>
          </w:tcPr>
          <w:p w:rsidR="00027D9D" w:rsidRPr="00027D9D" w:rsidRDefault="00027D9D" w:rsidP="009E2265">
            <w:pPr>
              <w:pStyle w:val="ListParagraph"/>
              <w:numPr>
                <w:ilvl w:val="0"/>
                <w:numId w:val="7"/>
              </w:numPr>
            </w:pPr>
            <w:r w:rsidRPr="00027D9D">
              <w:lastRenderedPageBreak/>
              <w:t>All the public sector clients are international - will this be suitable to demonstrate experience and serve as references?</w:t>
            </w:r>
          </w:p>
          <w:p w:rsidR="00027D9D" w:rsidRPr="00027D9D" w:rsidRDefault="00027D9D" w:rsidP="009E2265"/>
        </w:tc>
        <w:tc>
          <w:tcPr>
            <w:tcW w:w="5168" w:type="dxa"/>
          </w:tcPr>
          <w:p w:rsidR="00027D9D" w:rsidRDefault="00EF26CF" w:rsidP="00027D9D">
            <w:r>
              <w:t xml:space="preserve">The criteria set out on pages 9 – 10 do not distinguish between local and international clients.  </w:t>
            </w:r>
          </w:p>
        </w:tc>
      </w:tr>
      <w:tr w:rsidR="0094033A" w:rsidTr="004F01AB">
        <w:trPr>
          <w:gridAfter w:val="1"/>
          <w:wAfter w:w="25" w:type="dxa"/>
          <w:cantSplit/>
          <w:trHeight w:val="1134"/>
        </w:trPr>
        <w:tc>
          <w:tcPr>
            <w:tcW w:w="3823" w:type="dxa"/>
          </w:tcPr>
          <w:p w:rsidR="0094033A" w:rsidRPr="00027D9D" w:rsidRDefault="0094033A" w:rsidP="0094033A">
            <w:pPr>
              <w:pStyle w:val="ListParagraph"/>
              <w:numPr>
                <w:ilvl w:val="0"/>
                <w:numId w:val="7"/>
              </w:numPr>
            </w:pPr>
            <w:r w:rsidRPr="0094033A">
              <w:t>The list of services in SBD3.1 (page 17) does not appear to be aligned with the list of deliverables in section 1.4 (page 6). Would GEPF allow bidders to change the pricing schedule services list to match the list of deliverables on page 6?</w:t>
            </w:r>
          </w:p>
        </w:tc>
        <w:tc>
          <w:tcPr>
            <w:tcW w:w="5168" w:type="dxa"/>
          </w:tcPr>
          <w:p w:rsidR="0094033A" w:rsidRDefault="00C35761" w:rsidP="00C35761">
            <w:r>
              <w:t>Although the wording is not exactly the same, t</w:t>
            </w:r>
            <w:r w:rsidR="00EF26CF">
              <w:t>he list of services</w:t>
            </w:r>
            <w:r>
              <w:t xml:space="preserve"> under SBD 3.1</w:t>
            </w:r>
            <w:r w:rsidR="00EF26CF">
              <w:t xml:space="preserve"> </w:t>
            </w:r>
            <w:r>
              <w:t>encompasses</w:t>
            </w:r>
            <w:r w:rsidR="00EF26CF">
              <w:t xml:space="preserve"> the deliverables.</w:t>
            </w:r>
            <w:r>
              <w:t xml:space="preserve"> Bidders should not change the pricing schedule.</w:t>
            </w:r>
          </w:p>
        </w:tc>
      </w:tr>
    </w:tbl>
    <w:p w:rsidR="00A315D2" w:rsidRDefault="00A315D2"/>
    <w:sectPr w:rsidR="00A315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E0" w:rsidRDefault="00724EE0" w:rsidP="00AA093D">
      <w:pPr>
        <w:spacing w:after="0" w:line="240" w:lineRule="auto"/>
      </w:pPr>
      <w:r>
        <w:separator/>
      </w:r>
    </w:p>
  </w:endnote>
  <w:endnote w:type="continuationSeparator" w:id="0">
    <w:p w:rsidR="00724EE0" w:rsidRDefault="00724EE0" w:rsidP="00AA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E0" w:rsidRDefault="00724EE0" w:rsidP="00AA093D">
      <w:pPr>
        <w:spacing w:after="0" w:line="240" w:lineRule="auto"/>
      </w:pPr>
      <w:r>
        <w:separator/>
      </w:r>
    </w:p>
  </w:footnote>
  <w:footnote w:type="continuationSeparator" w:id="0">
    <w:p w:rsidR="00724EE0" w:rsidRDefault="00724EE0" w:rsidP="00AA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3D" w:rsidRDefault="009E2265">
    <w:pPr>
      <w:pStyle w:val="Header"/>
    </w:pPr>
    <w:r>
      <w:rPr>
        <w:noProof/>
        <w:lang w:eastAsia="en-ZA"/>
      </w:rPr>
      <w:drawing>
        <wp:inline distT="0" distB="0" distL="0" distR="0" wp14:anchorId="43EACAF3" wp14:editId="21789FD3">
          <wp:extent cx="2047875" cy="1228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p w:rsidR="00AA093D" w:rsidRDefault="00AA093D">
    <w:pPr>
      <w:pStyle w:val="Header"/>
    </w:pPr>
  </w:p>
  <w:p w:rsidR="00AA093D" w:rsidRDefault="00AA093D">
    <w:pPr>
      <w:pStyle w:val="Header"/>
    </w:pPr>
  </w:p>
  <w:p w:rsidR="00AA093D" w:rsidRDefault="00AA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6EA"/>
    <w:multiLevelType w:val="multilevel"/>
    <w:tmpl w:val="A432A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1E38BA"/>
    <w:multiLevelType w:val="hybridMultilevel"/>
    <w:tmpl w:val="D93C7D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5C0BCE"/>
    <w:multiLevelType w:val="hybridMultilevel"/>
    <w:tmpl w:val="B29CB7B6"/>
    <w:lvl w:ilvl="0" w:tplc="C49AF222">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2702989"/>
    <w:multiLevelType w:val="hybridMultilevel"/>
    <w:tmpl w:val="49AEEB0A"/>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37C378DF"/>
    <w:multiLevelType w:val="hybridMultilevel"/>
    <w:tmpl w:val="AF502F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1E4D7E"/>
    <w:multiLevelType w:val="hybridMultilevel"/>
    <w:tmpl w:val="2E54D0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BB60446"/>
    <w:multiLevelType w:val="multilevel"/>
    <w:tmpl w:val="29864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F"/>
    <w:rsid w:val="00027D9D"/>
    <w:rsid w:val="000F3C70"/>
    <w:rsid w:val="00114BA7"/>
    <w:rsid w:val="001B497B"/>
    <w:rsid w:val="0022284D"/>
    <w:rsid w:val="00252697"/>
    <w:rsid w:val="004F01AB"/>
    <w:rsid w:val="005F3D04"/>
    <w:rsid w:val="00660C07"/>
    <w:rsid w:val="007063B4"/>
    <w:rsid w:val="00724EE0"/>
    <w:rsid w:val="0076245C"/>
    <w:rsid w:val="008F1E4F"/>
    <w:rsid w:val="0094033A"/>
    <w:rsid w:val="009E2265"/>
    <w:rsid w:val="00A315D2"/>
    <w:rsid w:val="00AA093D"/>
    <w:rsid w:val="00B94240"/>
    <w:rsid w:val="00C35761"/>
    <w:rsid w:val="00CD106F"/>
    <w:rsid w:val="00CE6886"/>
    <w:rsid w:val="00D55A22"/>
    <w:rsid w:val="00E20204"/>
    <w:rsid w:val="00E22B27"/>
    <w:rsid w:val="00EF26CF"/>
    <w:rsid w:val="00FE74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3D"/>
  </w:style>
  <w:style w:type="paragraph" w:styleId="Footer">
    <w:name w:val="footer"/>
    <w:basedOn w:val="Normal"/>
    <w:link w:val="FooterChar"/>
    <w:uiPriority w:val="99"/>
    <w:unhideWhenUsed/>
    <w:rsid w:val="00AA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3D"/>
  </w:style>
  <w:style w:type="paragraph" w:styleId="ListParagraph">
    <w:name w:val="List Paragraph"/>
    <w:basedOn w:val="Normal"/>
    <w:uiPriority w:val="34"/>
    <w:qFormat/>
    <w:rsid w:val="00AA093D"/>
    <w:pPr>
      <w:spacing w:after="0" w:line="240" w:lineRule="auto"/>
      <w:ind w:left="720"/>
    </w:pPr>
    <w:rPr>
      <w:rFonts w:ascii="Calibri" w:hAnsi="Calibri" w:cs="Times New Roman"/>
    </w:rPr>
  </w:style>
  <w:style w:type="paragraph" w:styleId="NormalWeb">
    <w:name w:val="Normal (Web)"/>
    <w:basedOn w:val="Normal"/>
    <w:uiPriority w:val="99"/>
    <w:semiHidden/>
    <w:unhideWhenUsed/>
    <w:rsid w:val="00027D9D"/>
    <w:pPr>
      <w:spacing w:before="100" w:beforeAutospacing="1" w:after="100" w:afterAutospacing="1" w:line="240" w:lineRule="auto"/>
    </w:pPr>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F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3D"/>
  </w:style>
  <w:style w:type="paragraph" w:styleId="Footer">
    <w:name w:val="footer"/>
    <w:basedOn w:val="Normal"/>
    <w:link w:val="FooterChar"/>
    <w:uiPriority w:val="99"/>
    <w:unhideWhenUsed/>
    <w:rsid w:val="00AA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3D"/>
  </w:style>
  <w:style w:type="paragraph" w:styleId="ListParagraph">
    <w:name w:val="List Paragraph"/>
    <w:basedOn w:val="Normal"/>
    <w:uiPriority w:val="34"/>
    <w:qFormat/>
    <w:rsid w:val="00AA093D"/>
    <w:pPr>
      <w:spacing w:after="0" w:line="240" w:lineRule="auto"/>
      <w:ind w:left="720"/>
    </w:pPr>
    <w:rPr>
      <w:rFonts w:ascii="Calibri" w:hAnsi="Calibri" w:cs="Times New Roman"/>
    </w:rPr>
  </w:style>
  <w:style w:type="paragraph" w:styleId="NormalWeb">
    <w:name w:val="Normal (Web)"/>
    <w:basedOn w:val="Normal"/>
    <w:uiPriority w:val="99"/>
    <w:semiHidden/>
    <w:unhideWhenUsed/>
    <w:rsid w:val="00027D9D"/>
    <w:pPr>
      <w:spacing w:before="100" w:beforeAutospacing="1" w:after="100" w:afterAutospacing="1" w:line="240" w:lineRule="auto"/>
    </w:pPr>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4F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862">
      <w:bodyDiv w:val="1"/>
      <w:marLeft w:val="0"/>
      <w:marRight w:val="0"/>
      <w:marTop w:val="0"/>
      <w:marBottom w:val="0"/>
      <w:divBdr>
        <w:top w:val="none" w:sz="0" w:space="0" w:color="auto"/>
        <w:left w:val="none" w:sz="0" w:space="0" w:color="auto"/>
        <w:bottom w:val="none" w:sz="0" w:space="0" w:color="auto"/>
        <w:right w:val="none" w:sz="0" w:space="0" w:color="auto"/>
      </w:divBdr>
    </w:div>
    <w:div w:id="317270885">
      <w:bodyDiv w:val="1"/>
      <w:marLeft w:val="0"/>
      <w:marRight w:val="0"/>
      <w:marTop w:val="0"/>
      <w:marBottom w:val="0"/>
      <w:divBdr>
        <w:top w:val="none" w:sz="0" w:space="0" w:color="auto"/>
        <w:left w:val="none" w:sz="0" w:space="0" w:color="auto"/>
        <w:bottom w:val="none" w:sz="0" w:space="0" w:color="auto"/>
        <w:right w:val="none" w:sz="0" w:space="0" w:color="auto"/>
      </w:divBdr>
    </w:div>
    <w:div w:id="941495392">
      <w:bodyDiv w:val="1"/>
      <w:marLeft w:val="0"/>
      <w:marRight w:val="0"/>
      <w:marTop w:val="0"/>
      <w:marBottom w:val="0"/>
      <w:divBdr>
        <w:top w:val="none" w:sz="0" w:space="0" w:color="auto"/>
        <w:left w:val="none" w:sz="0" w:space="0" w:color="auto"/>
        <w:bottom w:val="none" w:sz="0" w:space="0" w:color="auto"/>
        <w:right w:val="none" w:sz="0" w:space="0" w:color="auto"/>
      </w:divBdr>
    </w:div>
    <w:div w:id="137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629D-22A5-4EAE-B2E5-41ECB64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Rendani Mashawana</dc:creator>
  <cp:lastModifiedBy>William Ramoroka</cp:lastModifiedBy>
  <cp:revision>3</cp:revision>
  <dcterms:created xsi:type="dcterms:W3CDTF">2018-03-20T04:39:00Z</dcterms:created>
  <dcterms:modified xsi:type="dcterms:W3CDTF">2018-03-20T04:41:00Z</dcterms:modified>
</cp:coreProperties>
</file>