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41" w:rsidRPr="002F6D14" w:rsidRDefault="002F6D14" w:rsidP="002F6D14">
      <w:pPr>
        <w:jc w:val="center"/>
        <w:rPr>
          <w:rFonts w:ascii="Arial" w:hAnsi="Arial" w:cs="Arial"/>
          <w:sz w:val="28"/>
          <w:szCs w:val="28"/>
        </w:rPr>
      </w:pPr>
      <w:r w:rsidRPr="002F6D14">
        <w:rPr>
          <w:rFonts w:ascii="Arial" w:hAnsi="Arial" w:cs="Arial"/>
          <w:b/>
          <w:sz w:val="28"/>
          <w:szCs w:val="28"/>
          <w:u w:val="single"/>
        </w:rPr>
        <w:t>QUESTIONS AND ANSWERS FOR ACTUARIAL CONSULTING SERVICES BID (GEPF 0</w:t>
      </w:r>
      <w:r w:rsidR="00F03412">
        <w:rPr>
          <w:rFonts w:ascii="Arial" w:hAnsi="Arial" w:cs="Arial"/>
          <w:b/>
          <w:sz w:val="28"/>
          <w:szCs w:val="28"/>
          <w:u w:val="single"/>
        </w:rPr>
        <w:t>5</w:t>
      </w:r>
      <w:r w:rsidRPr="002F6D14">
        <w:rPr>
          <w:rFonts w:ascii="Arial" w:hAnsi="Arial" w:cs="Arial"/>
          <w:b/>
          <w:sz w:val="28"/>
          <w:szCs w:val="28"/>
          <w:u w:val="single"/>
        </w:rPr>
        <w:t>/2017)</w:t>
      </w:r>
      <w:r w:rsidRPr="002F6D14">
        <w:rPr>
          <w:rFonts w:ascii="Arial" w:hAnsi="Arial" w:cs="Arial"/>
          <w:sz w:val="28"/>
          <w:szCs w:val="28"/>
        </w:rPr>
        <w:t>.</w:t>
      </w:r>
    </w:p>
    <w:tbl>
      <w:tblPr>
        <w:tblStyle w:val="TableGrid"/>
        <w:tblW w:w="14283" w:type="dxa"/>
        <w:tblLook w:val="04A0" w:firstRow="1" w:lastRow="0" w:firstColumn="1" w:lastColumn="0" w:noHBand="0" w:noVBand="1"/>
      </w:tblPr>
      <w:tblGrid>
        <w:gridCol w:w="546"/>
        <w:gridCol w:w="6090"/>
        <w:gridCol w:w="7647"/>
      </w:tblGrid>
      <w:tr w:rsidR="002F6D14" w:rsidRPr="002F6D14" w:rsidTr="00490DCD">
        <w:tc>
          <w:tcPr>
            <w:tcW w:w="546" w:type="dxa"/>
          </w:tcPr>
          <w:p w:rsidR="002F6D14" w:rsidRPr="002F6D14" w:rsidRDefault="002F6D14">
            <w:pPr>
              <w:rPr>
                <w:rFonts w:ascii="Arial" w:hAnsi="Arial" w:cs="Arial"/>
                <w:b/>
              </w:rPr>
            </w:pPr>
            <w:r w:rsidRPr="002F6D14">
              <w:rPr>
                <w:rFonts w:ascii="Arial" w:hAnsi="Arial" w:cs="Arial"/>
                <w:b/>
              </w:rPr>
              <w:t>NO</w:t>
            </w:r>
          </w:p>
        </w:tc>
        <w:tc>
          <w:tcPr>
            <w:tcW w:w="6090" w:type="dxa"/>
          </w:tcPr>
          <w:p w:rsidR="002F6D14" w:rsidRPr="002F6D14" w:rsidRDefault="002F6D14">
            <w:pPr>
              <w:rPr>
                <w:rFonts w:ascii="Arial" w:hAnsi="Arial" w:cs="Arial"/>
                <w:b/>
              </w:rPr>
            </w:pPr>
            <w:r w:rsidRPr="002F6D14">
              <w:rPr>
                <w:rFonts w:ascii="Arial" w:hAnsi="Arial" w:cs="Arial"/>
                <w:b/>
              </w:rPr>
              <w:t>QUESTION</w:t>
            </w:r>
          </w:p>
        </w:tc>
        <w:tc>
          <w:tcPr>
            <w:tcW w:w="7647" w:type="dxa"/>
          </w:tcPr>
          <w:p w:rsidR="002F6D14" w:rsidRPr="002F6D14" w:rsidRDefault="002F6D14">
            <w:pPr>
              <w:rPr>
                <w:rFonts w:ascii="Arial" w:hAnsi="Arial" w:cs="Arial"/>
                <w:b/>
              </w:rPr>
            </w:pPr>
            <w:r w:rsidRPr="002F6D14">
              <w:rPr>
                <w:rFonts w:ascii="Arial" w:hAnsi="Arial" w:cs="Arial"/>
                <w:b/>
              </w:rPr>
              <w:t>ANSWER</w:t>
            </w:r>
          </w:p>
        </w:tc>
      </w:tr>
      <w:tr w:rsidR="002F6D14" w:rsidRPr="002F6D14" w:rsidTr="00490DCD">
        <w:tc>
          <w:tcPr>
            <w:tcW w:w="546" w:type="dxa"/>
          </w:tcPr>
          <w:p w:rsidR="002F6D14" w:rsidRPr="00490DCD" w:rsidRDefault="00490DCD">
            <w:pPr>
              <w:rPr>
                <w:rFonts w:ascii="Arial" w:hAnsi="Arial" w:cs="Arial"/>
                <w:b/>
              </w:rPr>
            </w:pPr>
            <w:r w:rsidRPr="00490DCD">
              <w:rPr>
                <w:rFonts w:ascii="Arial" w:hAnsi="Arial" w:cs="Arial"/>
                <w:b/>
              </w:rPr>
              <w:t>1</w:t>
            </w:r>
          </w:p>
        </w:tc>
        <w:tc>
          <w:tcPr>
            <w:tcW w:w="6090" w:type="dxa"/>
          </w:tcPr>
          <w:p w:rsidR="002F6D14" w:rsidRPr="002F6D14" w:rsidRDefault="00384CB0" w:rsidP="00384CB0">
            <w:pPr>
              <w:rPr>
                <w:rFonts w:ascii="Arial" w:hAnsi="Arial" w:cs="Arial"/>
              </w:rPr>
            </w:pPr>
            <w:r w:rsidRPr="00384CB0">
              <w:rPr>
                <w:rFonts w:ascii="Arial" w:hAnsi="Arial" w:cs="Arial"/>
              </w:rPr>
              <w:t>With regards to the estimated hours shown on page 10 per task – are these the estimated hours spent per task per year or the total estimated hours over the 5 year period? For the statutory valuation, if the hours represent the estimated time spent over 5 years, does this represent the time for one valuation or for both valuations?</w:t>
            </w:r>
          </w:p>
        </w:tc>
        <w:tc>
          <w:tcPr>
            <w:tcW w:w="7647" w:type="dxa"/>
          </w:tcPr>
          <w:p w:rsidR="00FF7C8A" w:rsidRPr="00FF7C8A" w:rsidRDefault="00FF7C8A" w:rsidP="00FF7C8A">
            <w:pPr>
              <w:rPr>
                <w:rFonts w:ascii="Arial" w:hAnsi="Arial" w:cs="Arial"/>
              </w:rPr>
            </w:pPr>
            <w:r w:rsidRPr="00FF7C8A">
              <w:rPr>
                <w:rFonts w:ascii="Arial" w:hAnsi="Arial" w:cs="Arial"/>
              </w:rPr>
              <w:t>The estimated hours are for one year, per project. Bidders can estimate the costs for Year One and then assume an annual increase of 6% per annum for subsequent years. 6% is the estimated maximum annual CPI based on the Reserve Bank inflation target range of 3%-6%.</w:t>
            </w:r>
          </w:p>
          <w:p w:rsidR="00FF7C8A" w:rsidRPr="00FF7C8A" w:rsidRDefault="001B5310" w:rsidP="00FF7C8A">
            <w:pPr>
              <w:rPr>
                <w:rFonts w:ascii="Arial" w:hAnsi="Arial" w:cs="Arial"/>
              </w:rPr>
            </w:pPr>
            <w:r>
              <w:rPr>
                <w:rFonts w:ascii="Arial" w:hAnsi="Arial" w:cs="Arial"/>
              </w:rPr>
              <w:t>Statutory actuarial valuations will be carried out as at 31 March 2018, 31 March 2020 and 31 March 2022</w:t>
            </w:r>
            <w:r w:rsidR="00FF7C8A" w:rsidRPr="00FF7C8A">
              <w:rPr>
                <w:rFonts w:ascii="Arial" w:hAnsi="Arial" w:cs="Arial"/>
              </w:rPr>
              <w:t xml:space="preserve">. </w:t>
            </w:r>
          </w:p>
          <w:p w:rsidR="002F6D14" w:rsidRPr="002F6D14" w:rsidRDefault="002F6D14">
            <w:pPr>
              <w:rPr>
                <w:rFonts w:ascii="Arial" w:hAnsi="Arial" w:cs="Arial"/>
              </w:rPr>
            </w:pPr>
          </w:p>
        </w:tc>
      </w:tr>
      <w:tr w:rsidR="002F6D14" w:rsidRPr="002F6D14" w:rsidTr="00490DCD">
        <w:tc>
          <w:tcPr>
            <w:tcW w:w="546" w:type="dxa"/>
          </w:tcPr>
          <w:p w:rsidR="002F6D14" w:rsidRPr="00490DCD" w:rsidRDefault="00490DCD">
            <w:pPr>
              <w:rPr>
                <w:rFonts w:ascii="Arial" w:hAnsi="Arial" w:cs="Arial"/>
                <w:b/>
              </w:rPr>
            </w:pPr>
            <w:r w:rsidRPr="00490DCD">
              <w:rPr>
                <w:rFonts w:ascii="Arial" w:hAnsi="Arial" w:cs="Arial"/>
                <w:b/>
              </w:rPr>
              <w:t>2</w:t>
            </w:r>
          </w:p>
        </w:tc>
        <w:tc>
          <w:tcPr>
            <w:tcW w:w="6090" w:type="dxa"/>
          </w:tcPr>
          <w:p w:rsidR="002F6D14" w:rsidRPr="002F6D14" w:rsidRDefault="00FF7C8A">
            <w:pPr>
              <w:rPr>
                <w:rFonts w:ascii="Arial" w:hAnsi="Arial" w:cs="Arial"/>
              </w:rPr>
            </w:pPr>
            <w:r w:rsidRPr="00FF7C8A">
              <w:rPr>
                <w:rFonts w:ascii="Arial" w:hAnsi="Arial" w:cs="Arial"/>
              </w:rPr>
              <w:t>When is the effective date of the appointment i.e. when would we start working on the client should we be successful in the bid?</w:t>
            </w:r>
          </w:p>
        </w:tc>
        <w:tc>
          <w:tcPr>
            <w:tcW w:w="7647" w:type="dxa"/>
          </w:tcPr>
          <w:p w:rsidR="00FF7C8A" w:rsidRPr="00FF7C8A" w:rsidRDefault="00FF7C8A" w:rsidP="00FF7C8A">
            <w:pPr>
              <w:rPr>
                <w:rFonts w:ascii="Arial" w:hAnsi="Arial" w:cs="Arial"/>
              </w:rPr>
            </w:pPr>
            <w:r w:rsidRPr="00FF7C8A">
              <w:rPr>
                <w:rFonts w:ascii="Arial" w:hAnsi="Arial" w:cs="Arial"/>
              </w:rPr>
              <w:t>The effective date of the appointment will be 1 April 2018</w:t>
            </w:r>
          </w:p>
          <w:p w:rsidR="002F6D14" w:rsidRPr="002F6D14" w:rsidRDefault="002F6D14">
            <w:pPr>
              <w:rPr>
                <w:rFonts w:ascii="Arial" w:hAnsi="Arial" w:cs="Arial"/>
              </w:rPr>
            </w:pPr>
          </w:p>
        </w:tc>
      </w:tr>
      <w:tr w:rsidR="002F6D14" w:rsidRPr="002F6D14" w:rsidTr="00490DCD">
        <w:tc>
          <w:tcPr>
            <w:tcW w:w="546" w:type="dxa"/>
          </w:tcPr>
          <w:p w:rsidR="002F6D14" w:rsidRPr="00490DCD" w:rsidRDefault="00490DCD">
            <w:pPr>
              <w:rPr>
                <w:rFonts w:ascii="Arial" w:hAnsi="Arial" w:cs="Arial"/>
                <w:b/>
              </w:rPr>
            </w:pPr>
            <w:r w:rsidRPr="00490DCD">
              <w:rPr>
                <w:rFonts w:ascii="Arial" w:hAnsi="Arial" w:cs="Arial"/>
                <w:b/>
              </w:rPr>
              <w:t>3</w:t>
            </w:r>
          </w:p>
        </w:tc>
        <w:tc>
          <w:tcPr>
            <w:tcW w:w="6090" w:type="dxa"/>
          </w:tcPr>
          <w:p w:rsidR="00FF7C8A" w:rsidRPr="00FF7C8A" w:rsidRDefault="00FF7C8A" w:rsidP="00FF7C8A">
            <w:pPr>
              <w:rPr>
                <w:rFonts w:ascii="Arial" w:hAnsi="Arial" w:cs="Arial"/>
              </w:rPr>
            </w:pPr>
            <w:r w:rsidRPr="00FF7C8A">
              <w:rPr>
                <w:rFonts w:ascii="Arial" w:hAnsi="Arial" w:cs="Arial"/>
              </w:rPr>
              <w:t>How many decrement and salary investigations are expected, and when would the first project commence?</w:t>
            </w:r>
          </w:p>
          <w:p w:rsidR="002F6D14" w:rsidRPr="002F6D14" w:rsidRDefault="002F6D14">
            <w:pPr>
              <w:rPr>
                <w:rFonts w:ascii="Arial" w:hAnsi="Arial" w:cs="Arial"/>
              </w:rPr>
            </w:pPr>
          </w:p>
        </w:tc>
        <w:tc>
          <w:tcPr>
            <w:tcW w:w="7647" w:type="dxa"/>
          </w:tcPr>
          <w:p w:rsidR="002F6D14" w:rsidRPr="002F6D14" w:rsidRDefault="00FF7C8A" w:rsidP="001B5310">
            <w:pPr>
              <w:rPr>
                <w:rFonts w:ascii="Arial" w:hAnsi="Arial" w:cs="Arial"/>
              </w:rPr>
            </w:pPr>
            <w:r w:rsidRPr="00FF7C8A">
              <w:rPr>
                <w:rFonts w:ascii="Arial" w:hAnsi="Arial" w:cs="Arial"/>
              </w:rPr>
              <w:t xml:space="preserve">The </w:t>
            </w:r>
            <w:r w:rsidR="001B5310">
              <w:rPr>
                <w:rFonts w:ascii="Arial" w:hAnsi="Arial" w:cs="Arial"/>
              </w:rPr>
              <w:t xml:space="preserve">decrement and salary </w:t>
            </w:r>
            <w:r w:rsidRPr="00FF7C8A">
              <w:rPr>
                <w:rFonts w:ascii="Arial" w:hAnsi="Arial" w:cs="Arial"/>
              </w:rPr>
              <w:t>investigation will take place on an ad hoc basis</w:t>
            </w:r>
            <w:r w:rsidR="001B5310">
              <w:rPr>
                <w:rFonts w:ascii="Arial" w:hAnsi="Arial" w:cs="Arial"/>
              </w:rPr>
              <w:t xml:space="preserve"> subject to Board approval</w:t>
            </w:r>
            <w:r w:rsidRPr="00FF7C8A">
              <w:rPr>
                <w:rFonts w:ascii="Arial" w:hAnsi="Arial" w:cs="Arial"/>
              </w:rPr>
              <w:t xml:space="preserve">. Bidders can assume that one such investigation will take place </w:t>
            </w:r>
            <w:r w:rsidR="001B5310">
              <w:rPr>
                <w:rFonts w:ascii="Arial" w:hAnsi="Arial" w:cs="Arial"/>
              </w:rPr>
              <w:t>over the 5 year period in year 3 with the period of investigation starting from year 2013.</w:t>
            </w:r>
            <w:r w:rsidRPr="00FF7C8A">
              <w:rPr>
                <w:rFonts w:ascii="Arial" w:hAnsi="Arial" w:cs="Arial"/>
              </w:rPr>
              <w:t xml:space="preserve"> </w:t>
            </w:r>
          </w:p>
        </w:tc>
      </w:tr>
      <w:tr w:rsidR="002F6D14" w:rsidRPr="002F6D14" w:rsidTr="00490DCD">
        <w:tc>
          <w:tcPr>
            <w:tcW w:w="546" w:type="dxa"/>
          </w:tcPr>
          <w:p w:rsidR="002F6D14" w:rsidRPr="00490DCD" w:rsidRDefault="00490DCD">
            <w:pPr>
              <w:rPr>
                <w:rFonts w:ascii="Arial" w:hAnsi="Arial" w:cs="Arial"/>
                <w:b/>
              </w:rPr>
            </w:pPr>
            <w:r w:rsidRPr="00490DCD">
              <w:rPr>
                <w:rFonts w:ascii="Arial" w:hAnsi="Arial" w:cs="Arial"/>
                <w:b/>
              </w:rPr>
              <w:t>4</w:t>
            </w:r>
          </w:p>
        </w:tc>
        <w:tc>
          <w:tcPr>
            <w:tcW w:w="6090" w:type="dxa"/>
          </w:tcPr>
          <w:p w:rsidR="002F6D14" w:rsidRPr="002F6D14" w:rsidRDefault="00FF7C8A" w:rsidP="00FF7C8A">
            <w:pPr>
              <w:rPr>
                <w:rFonts w:ascii="Arial" w:hAnsi="Arial" w:cs="Arial"/>
              </w:rPr>
            </w:pPr>
            <w:r w:rsidRPr="00FF7C8A">
              <w:rPr>
                <w:rFonts w:ascii="Arial" w:hAnsi="Arial" w:cs="Arial"/>
              </w:rPr>
              <w:t>How many meetings are expected per year, and roughly when during the year will these meetings be held?</w:t>
            </w:r>
          </w:p>
        </w:tc>
        <w:tc>
          <w:tcPr>
            <w:tcW w:w="7647" w:type="dxa"/>
          </w:tcPr>
          <w:p w:rsidR="002F6D14" w:rsidRPr="002F6D14" w:rsidRDefault="00FF7C8A">
            <w:pPr>
              <w:rPr>
                <w:rFonts w:ascii="Arial" w:hAnsi="Arial" w:cs="Arial"/>
              </w:rPr>
            </w:pPr>
            <w:r w:rsidRPr="00FF7C8A">
              <w:rPr>
                <w:rFonts w:ascii="Arial" w:hAnsi="Arial" w:cs="Arial"/>
              </w:rPr>
              <w:t>There are a minimum 8 meetings per annum (four with the Board of Trustees, four with the Benefit Administration Committee – each held once per quarter). Other meetings will be held with GEPF and GPAA management throughout the year. Bidders must use the estimated number of hours given on the table.</w:t>
            </w:r>
          </w:p>
        </w:tc>
      </w:tr>
      <w:tr w:rsidR="002F6D14" w:rsidRPr="002F6D14" w:rsidTr="00490DCD">
        <w:tc>
          <w:tcPr>
            <w:tcW w:w="546" w:type="dxa"/>
          </w:tcPr>
          <w:p w:rsidR="002F6D14" w:rsidRPr="00490DCD" w:rsidRDefault="00490DCD">
            <w:pPr>
              <w:rPr>
                <w:rFonts w:ascii="Arial" w:hAnsi="Arial" w:cs="Arial"/>
                <w:b/>
              </w:rPr>
            </w:pPr>
            <w:r w:rsidRPr="00490DCD">
              <w:rPr>
                <w:rFonts w:ascii="Arial" w:hAnsi="Arial" w:cs="Arial"/>
                <w:b/>
              </w:rPr>
              <w:t>5</w:t>
            </w:r>
          </w:p>
        </w:tc>
        <w:tc>
          <w:tcPr>
            <w:tcW w:w="6090" w:type="dxa"/>
          </w:tcPr>
          <w:p w:rsidR="002F6D14" w:rsidRPr="002F6D14" w:rsidRDefault="00753957">
            <w:pPr>
              <w:rPr>
                <w:rFonts w:ascii="Arial" w:hAnsi="Arial" w:cs="Arial"/>
              </w:rPr>
            </w:pPr>
            <w:r w:rsidRPr="00753957">
              <w:rPr>
                <w:rFonts w:ascii="Arial" w:hAnsi="Arial" w:cs="Arial"/>
              </w:rPr>
              <w:t>Over the five year period of the contract, will be need to perform 2 or 3 statutory valuations, as we understand it each statutory valuation is done every 2 years.</w:t>
            </w:r>
          </w:p>
        </w:tc>
        <w:tc>
          <w:tcPr>
            <w:tcW w:w="7647" w:type="dxa"/>
          </w:tcPr>
          <w:p w:rsidR="002F6D14" w:rsidRPr="002F6D14" w:rsidRDefault="00753957" w:rsidP="001B5310">
            <w:pPr>
              <w:rPr>
                <w:rFonts w:ascii="Arial" w:hAnsi="Arial" w:cs="Arial"/>
              </w:rPr>
            </w:pPr>
            <w:r w:rsidRPr="00753957">
              <w:rPr>
                <w:rFonts w:ascii="Arial" w:hAnsi="Arial" w:cs="Arial"/>
              </w:rPr>
              <w:t xml:space="preserve">Assume </w:t>
            </w:r>
            <w:r w:rsidR="001B5310">
              <w:rPr>
                <w:rFonts w:ascii="Arial" w:hAnsi="Arial" w:cs="Arial"/>
              </w:rPr>
              <w:t>three</w:t>
            </w:r>
            <w:r w:rsidRPr="00753957">
              <w:rPr>
                <w:rFonts w:ascii="Arial" w:hAnsi="Arial" w:cs="Arial"/>
              </w:rPr>
              <w:t xml:space="preserve"> statutory valuations over the five year period.</w:t>
            </w:r>
          </w:p>
        </w:tc>
      </w:tr>
      <w:tr w:rsidR="002F6D14" w:rsidRPr="002F6D14" w:rsidTr="00490DCD">
        <w:tc>
          <w:tcPr>
            <w:tcW w:w="546" w:type="dxa"/>
          </w:tcPr>
          <w:p w:rsidR="002F6D14" w:rsidRPr="00490DCD" w:rsidRDefault="00490DCD">
            <w:pPr>
              <w:rPr>
                <w:rFonts w:ascii="Arial" w:hAnsi="Arial" w:cs="Arial"/>
                <w:b/>
              </w:rPr>
            </w:pPr>
            <w:r w:rsidRPr="00490DCD">
              <w:rPr>
                <w:rFonts w:ascii="Arial" w:hAnsi="Arial" w:cs="Arial"/>
                <w:b/>
              </w:rPr>
              <w:t>6</w:t>
            </w:r>
          </w:p>
        </w:tc>
        <w:tc>
          <w:tcPr>
            <w:tcW w:w="6090" w:type="dxa"/>
          </w:tcPr>
          <w:p w:rsidR="002F6D14" w:rsidRPr="002F6D14" w:rsidRDefault="00753957">
            <w:pPr>
              <w:rPr>
                <w:rFonts w:ascii="Arial" w:hAnsi="Arial" w:cs="Arial"/>
              </w:rPr>
            </w:pPr>
            <w:r w:rsidRPr="00753957">
              <w:rPr>
                <w:rFonts w:ascii="Arial" w:hAnsi="Arial" w:cs="Arial"/>
              </w:rPr>
              <w:t>We don’t see it in the tender, but does the fund perform a mortality investigation exercise on the pensioners of the Fund? Will this be a requirement over the next 5 years if the fund does perform this exercise?</w:t>
            </w:r>
          </w:p>
        </w:tc>
        <w:tc>
          <w:tcPr>
            <w:tcW w:w="7647" w:type="dxa"/>
          </w:tcPr>
          <w:p w:rsidR="00753957" w:rsidRPr="00753957" w:rsidRDefault="001B5310" w:rsidP="00753957">
            <w:pPr>
              <w:rPr>
                <w:rFonts w:ascii="Arial" w:hAnsi="Arial" w:cs="Arial"/>
              </w:rPr>
            </w:pPr>
            <w:r>
              <w:rPr>
                <w:rFonts w:ascii="Arial" w:hAnsi="Arial" w:cs="Arial"/>
              </w:rPr>
              <w:t>The mortality investigation forms part of the decrement and salary investigation referred to above.</w:t>
            </w:r>
          </w:p>
          <w:p w:rsidR="002F6D14" w:rsidRPr="002F6D14" w:rsidRDefault="002F6D14">
            <w:pPr>
              <w:rPr>
                <w:rFonts w:ascii="Arial" w:hAnsi="Arial" w:cs="Arial"/>
              </w:rPr>
            </w:pPr>
          </w:p>
        </w:tc>
      </w:tr>
      <w:tr w:rsidR="002F6D14" w:rsidRPr="002F6D14" w:rsidTr="00490DCD">
        <w:tc>
          <w:tcPr>
            <w:tcW w:w="546" w:type="dxa"/>
          </w:tcPr>
          <w:p w:rsidR="002F6D14" w:rsidRPr="00490DCD" w:rsidRDefault="00490DCD">
            <w:pPr>
              <w:rPr>
                <w:rFonts w:ascii="Arial" w:hAnsi="Arial" w:cs="Arial"/>
                <w:b/>
              </w:rPr>
            </w:pPr>
            <w:r w:rsidRPr="00490DCD">
              <w:rPr>
                <w:rFonts w:ascii="Arial" w:hAnsi="Arial" w:cs="Arial"/>
                <w:b/>
              </w:rPr>
              <w:t>7</w:t>
            </w:r>
          </w:p>
          <w:p w:rsidR="00490DCD" w:rsidRPr="00490DCD" w:rsidRDefault="00490DCD">
            <w:pPr>
              <w:rPr>
                <w:rFonts w:ascii="Arial" w:hAnsi="Arial" w:cs="Arial"/>
                <w:b/>
              </w:rPr>
            </w:pPr>
          </w:p>
          <w:p w:rsidR="00490DCD" w:rsidRPr="00490DCD" w:rsidRDefault="00490DCD">
            <w:pPr>
              <w:rPr>
                <w:rFonts w:ascii="Arial" w:hAnsi="Arial" w:cs="Arial"/>
                <w:b/>
              </w:rPr>
            </w:pPr>
          </w:p>
          <w:p w:rsidR="00490DCD" w:rsidRPr="00490DCD" w:rsidRDefault="00490DCD">
            <w:pPr>
              <w:rPr>
                <w:rFonts w:ascii="Arial" w:hAnsi="Arial" w:cs="Arial"/>
                <w:b/>
              </w:rPr>
            </w:pPr>
          </w:p>
          <w:p w:rsidR="00490DCD" w:rsidRPr="00490DCD" w:rsidRDefault="00490DCD">
            <w:pPr>
              <w:rPr>
                <w:rFonts w:ascii="Arial" w:hAnsi="Arial" w:cs="Arial"/>
                <w:b/>
              </w:rPr>
            </w:pPr>
          </w:p>
          <w:p w:rsidR="00490DCD" w:rsidRPr="00490DCD" w:rsidRDefault="00490DCD">
            <w:pPr>
              <w:rPr>
                <w:rFonts w:ascii="Arial" w:hAnsi="Arial" w:cs="Arial"/>
                <w:b/>
              </w:rPr>
            </w:pPr>
          </w:p>
          <w:p w:rsidR="00490DCD" w:rsidRPr="00490DCD" w:rsidRDefault="00490DCD">
            <w:pPr>
              <w:rPr>
                <w:rFonts w:ascii="Arial" w:hAnsi="Arial" w:cs="Arial"/>
                <w:b/>
              </w:rPr>
            </w:pPr>
            <w:r w:rsidRPr="00490DCD">
              <w:rPr>
                <w:rFonts w:ascii="Arial" w:hAnsi="Arial" w:cs="Arial"/>
                <w:b/>
              </w:rPr>
              <w:lastRenderedPageBreak/>
              <w:t>8</w:t>
            </w:r>
          </w:p>
        </w:tc>
        <w:tc>
          <w:tcPr>
            <w:tcW w:w="6090" w:type="dxa"/>
          </w:tcPr>
          <w:p w:rsidR="00753957" w:rsidRPr="00753957" w:rsidRDefault="00753957" w:rsidP="00753957">
            <w:pPr>
              <w:rPr>
                <w:rFonts w:ascii="Arial" w:hAnsi="Arial" w:cs="Arial"/>
              </w:rPr>
            </w:pPr>
            <w:r w:rsidRPr="00753957">
              <w:rPr>
                <w:rFonts w:ascii="Arial" w:hAnsi="Arial" w:cs="Arial"/>
              </w:rPr>
              <w:lastRenderedPageBreak/>
              <w:t>How many fully qualified actuarial professionals (i.e. completed their actuarial examinations) does the GEP Fund employ?  What is their number of years of professional experience in actuarial work, specifically with retirement funds, both inside and outside of the GEP Fund?</w:t>
            </w:r>
          </w:p>
          <w:p w:rsidR="002F6D14" w:rsidRPr="002F6D14" w:rsidRDefault="00753957" w:rsidP="00753957">
            <w:pPr>
              <w:rPr>
                <w:rFonts w:ascii="Arial" w:hAnsi="Arial" w:cs="Arial"/>
              </w:rPr>
            </w:pPr>
            <w:r w:rsidRPr="00753957">
              <w:rPr>
                <w:rFonts w:ascii="Arial" w:hAnsi="Arial" w:cs="Arial"/>
              </w:rPr>
              <w:t xml:space="preserve">Who is the lead actuarial professional at the GEP Fund that </w:t>
            </w:r>
            <w:r w:rsidRPr="00753957">
              <w:rPr>
                <w:rFonts w:ascii="Arial" w:hAnsi="Arial" w:cs="Arial"/>
              </w:rPr>
              <w:lastRenderedPageBreak/>
              <w:t>we will be our main point of contact?  Is that person d</w:t>
            </w:r>
            <w:r w:rsidR="00490DCD">
              <w:rPr>
                <w:rFonts w:ascii="Arial" w:hAnsi="Arial" w:cs="Arial"/>
              </w:rPr>
              <w:t>9</w:t>
            </w:r>
            <w:r w:rsidRPr="00753957">
              <w:rPr>
                <w:rFonts w:ascii="Arial" w:hAnsi="Arial" w:cs="Arial"/>
              </w:rPr>
              <w:t>edicated towards actuarial work?  What is their level of actuarial experience and qualification with recognised actuarial bodies?</w:t>
            </w:r>
          </w:p>
        </w:tc>
        <w:tc>
          <w:tcPr>
            <w:tcW w:w="7647" w:type="dxa"/>
          </w:tcPr>
          <w:p w:rsidR="00753957" w:rsidRDefault="00753957" w:rsidP="00753957">
            <w:pPr>
              <w:rPr>
                <w:rFonts w:ascii="Arial" w:hAnsi="Arial" w:cs="Arial"/>
              </w:rPr>
            </w:pPr>
            <w:r w:rsidRPr="00753957">
              <w:rPr>
                <w:rFonts w:ascii="Arial" w:hAnsi="Arial" w:cs="Arial"/>
              </w:rPr>
              <w:lastRenderedPageBreak/>
              <w:t xml:space="preserve">None currently. </w:t>
            </w:r>
          </w:p>
          <w:p w:rsidR="00753957" w:rsidRDefault="00753957" w:rsidP="00753957">
            <w:pPr>
              <w:rPr>
                <w:rFonts w:ascii="Arial" w:hAnsi="Arial" w:cs="Arial"/>
              </w:rPr>
            </w:pPr>
          </w:p>
          <w:p w:rsidR="00753957" w:rsidRDefault="00753957" w:rsidP="00753957">
            <w:pPr>
              <w:rPr>
                <w:rFonts w:ascii="Arial" w:hAnsi="Arial" w:cs="Arial"/>
              </w:rPr>
            </w:pPr>
          </w:p>
          <w:p w:rsidR="00753957" w:rsidRDefault="00753957" w:rsidP="00753957">
            <w:pPr>
              <w:rPr>
                <w:rFonts w:ascii="Arial" w:hAnsi="Arial" w:cs="Arial"/>
              </w:rPr>
            </w:pPr>
          </w:p>
          <w:p w:rsidR="00753957" w:rsidRDefault="00753957" w:rsidP="00753957">
            <w:pPr>
              <w:rPr>
                <w:rFonts w:ascii="Arial" w:hAnsi="Arial" w:cs="Arial"/>
              </w:rPr>
            </w:pPr>
          </w:p>
          <w:p w:rsidR="002F6D14" w:rsidRPr="002F6D14" w:rsidRDefault="00753957" w:rsidP="00753957">
            <w:pPr>
              <w:rPr>
                <w:rFonts w:ascii="Arial" w:hAnsi="Arial" w:cs="Arial"/>
              </w:rPr>
            </w:pPr>
            <w:r w:rsidRPr="00753957">
              <w:rPr>
                <w:rFonts w:ascii="Arial" w:hAnsi="Arial" w:cs="Arial"/>
              </w:rPr>
              <w:t xml:space="preserve">The Fund employs an actuarial manager who is dedicated towards actuarial </w:t>
            </w:r>
            <w:r w:rsidRPr="00753957">
              <w:rPr>
                <w:rFonts w:ascii="Arial" w:hAnsi="Arial" w:cs="Arial"/>
              </w:rPr>
              <w:lastRenderedPageBreak/>
              <w:t xml:space="preserve">work. The individual’s credentials, along with all relevant GEPF organisational structures and information, can be discussed with the winning bidder at contracting stage. </w:t>
            </w:r>
          </w:p>
        </w:tc>
      </w:tr>
      <w:tr w:rsidR="00753957" w:rsidRPr="002F6D14" w:rsidTr="00490DCD">
        <w:tc>
          <w:tcPr>
            <w:tcW w:w="546" w:type="dxa"/>
          </w:tcPr>
          <w:p w:rsidR="00753957" w:rsidRPr="00490DCD" w:rsidRDefault="00490DCD">
            <w:pPr>
              <w:rPr>
                <w:rFonts w:ascii="Arial" w:hAnsi="Arial" w:cs="Arial"/>
                <w:b/>
              </w:rPr>
            </w:pPr>
            <w:r w:rsidRPr="00490DCD">
              <w:rPr>
                <w:rFonts w:ascii="Arial" w:hAnsi="Arial" w:cs="Arial"/>
                <w:b/>
              </w:rPr>
              <w:lastRenderedPageBreak/>
              <w:t>9</w:t>
            </w:r>
          </w:p>
        </w:tc>
        <w:tc>
          <w:tcPr>
            <w:tcW w:w="6090" w:type="dxa"/>
          </w:tcPr>
          <w:p w:rsidR="00753957" w:rsidRPr="002F6D14" w:rsidRDefault="00753957" w:rsidP="00753957">
            <w:pPr>
              <w:rPr>
                <w:rFonts w:ascii="Arial" w:hAnsi="Arial" w:cs="Arial"/>
              </w:rPr>
            </w:pPr>
            <w:r w:rsidRPr="00753957">
              <w:rPr>
                <w:rFonts w:ascii="Arial" w:hAnsi="Arial" w:cs="Arial"/>
              </w:rPr>
              <w:t>Are any actuarial calculations performed internally by the GEP Fund's actuarial professionals?  Would we be expected to provide checks and verifications on this work?  What percentage of actuarial work at the GEP Fund is carried out internally vs. that performed by third party service providers?</w:t>
            </w:r>
          </w:p>
        </w:tc>
        <w:tc>
          <w:tcPr>
            <w:tcW w:w="7647" w:type="dxa"/>
          </w:tcPr>
          <w:p w:rsidR="00753957" w:rsidRPr="00753957" w:rsidRDefault="00753957" w:rsidP="00753957">
            <w:pPr>
              <w:rPr>
                <w:rFonts w:ascii="Arial" w:hAnsi="Arial" w:cs="Arial"/>
              </w:rPr>
            </w:pPr>
            <w:r w:rsidRPr="00753957">
              <w:rPr>
                <w:rFonts w:ascii="Arial" w:hAnsi="Arial" w:cs="Arial"/>
              </w:rPr>
              <w:t xml:space="preserve">The bidders should focus on the activities listed in the RFP and provide fee estimates on that basis for the purposes of the tender at this stage. </w:t>
            </w:r>
          </w:p>
          <w:p w:rsidR="00753957" w:rsidRPr="002F6D14" w:rsidRDefault="00753957">
            <w:pPr>
              <w:rPr>
                <w:rFonts w:ascii="Arial" w:hAnsi="Arial" w:cs="Arial"/>
              </w:rPr>
            </w:pPr>
          </w:p>
        </w:tc>
      </w:tr>
      <w:tr w:rsidR="00753957" w:rsidRPr="002F6D14" w:rsidTr="00490DCD">
        <w:tc>
          <w:tcPr>
            <w:tcW w:w="546" w:type="dxa"/>
          </w:tcPr>
          <w:p w:rsidR="00753957" w:rsidRPr="00490DCD" w:rsidRDefault="00490DCD">
            <w:pPr>
              <w:rPr>
                <w:rFonts w:ascii="Arial" w:hAnsi="Arial" w:cs="Arial"/>
                <w:b/>
              </w:rPr>
            </w:pPr>
            <w:r w:rsidRPr="00490DCD">
              <w:rPr>
                <w:rFonts w:ascii="Arial" w:hAnsi="Arial" w:cs="Arial"/>
                <w:b/>
              </w:rPr>
              <w:t>10</w:t>
            </w:r>
          </w:p>
        </w:tc>
        <w:tc>
          <w:tcPr>
            <w:tcW w:w="6090" w:type="dxa"/>
          </w:tcPr>
          <w:p w:rsidR="00753957" w:rsidRPr="00753957" w:rsidRDefault="00753957" w:rsidP="00753957">
            <w:pPr>
              <w:rPr>
                <w:rFonts w:ascii="Arial" w:hAnsi="Arial" w:cs="Arial"/>
              </w:rPr>
            </w:pPr>
            <w:r w:rsidRPr="00753957">
              <w:rPr>
                <w:rFonts w:ascii="Arial" w:hAnsi="Arial" w:cs="Arial"/>
              </w:rPr>
              <w:t xml:space="preserve">Do you require our three largest funds worked on as an actuary in terms of membership or size of fund in </w:t>
            </w:r>
            <w:proofErr w:type="spellStart"/>
            <w:r w:rsidRPr="00753957">
              <w:rPr>
                <w:rFonts w:ascii="Arial" w:hAnsi="Arial" w:cs="Arial"/>
              </w:rPr>
              <w:t>Rands</w:t>
            </w:r>
            <w:proofErr w:type="spellEnd"/>
            <w:r w:rsidRPr="00753957">
              <w:rPr>
                <w:rFonts w:ascii="Arial" w:hAnsi="Arial" w:cs="Arial"/>
              </w:rPr>
              <w:t>?</w:t>
            </w:r>
          </w:p>
          <w:p w:rsidR="00753957" w:rsidRPr="002F6D14" w:rsidRDefault="00753957" w:rsidP="00753957">
            <w:pPr>
              <w:rPr>
                <w:rFonts w:ascii="Arial" w:hAnsi="Arial" w:cs="Arial"/>
              </w:rPr>
            </w:pPr>
            <w:r w:rsidRPr="00753957">
              <w:rPr>
                <w:rFonts w:ascii="Arial" w:hAnsi="Arial" w:cs="Arial"/>
              </w:rPr>
              <w:t xml:space="preserve">Both </w:t>
            </w:r>
          </w:p>
        </w:tc>
        <w:tc>
          <w:tcPr>
            <w:tcW w:w="7647" w:type="dxa"/>
          </w:tcPr>
          <w:p w:rsidR="00753957" w:rsidRPr="00753957" w:rsidRDefault="00753957" w:rsidP="00753957">
            <w:pPr>
              <w:rPr>
                <w:rFonts w:ascii="Arial" w:hAnsi="Arial" w:cs="Arial"/>
              </w:rPr>
            </w:pPr>
            <w:r w:rsidRPr="00753957">
              <w:rPr>
                <w:rFonts w:ascii="Arial" w:hAnsi="Arial" w:cs="Arial"/>
              </w:rPr>
              <w:t xml:space="preserve">Both </w:t>
            </w:r>
          </w:p>
          <w:p w:rsidR="00753957" w:rsidRPr="002F6D14" w:rsidRDefault="00753957">
            <w:pPr>
              <w:rPr>
                <w:rFonts w:ascii="Arial" w:hAnsi="Arial" w:cs="Arial"/>
              </w:rPr>
            </w:pPr>
          </w:p>
        </w:tc>
      </w:tr>
      <w:tr w:rsidR="00753957" w:rsidRPr="002F6D14" w:rsidTr="00490DCD">
        <w:tc>
          <w:tcPr>
            <w:tcW w:w="546" w:type="dxa"/>
          </w:tcPr>
          <w:p w:rsidR="00753957" w:rsidRPr="00490DCD" w:rsidRDefault="00490DCD">
            <w:pPr>
              <w:rPr>
                <w:rFonts w:ascii="Arial" w:hAnsi="Arial" w:cs="Arial"/>
                <w:b/>
              </w:rPr>
            </w:pPr>
            <w:r w:rsidRPr="00490DCD">
              <w:rPr>
                <w:rFonts w:ascii="Arial" w:hAnsi="Arial" w:cs="Arial"/>
                <w:b/>
              </w:rPr>
              <w:t>11</w:t>
            </w:r>
          </w:p>
        </w:tc>
        <w:tc>
          <w:tcPr>
            <w:tcW w:w="6090" w:type="dxa"/>
          </w:tcPr>
          <w:p w:rsidR="00753957" w:rsidRPr="002F6D14" w:rsidRDefault="00753957">
            <w:pPr>
              <w:rPr>
                <w:rFonts w:ascii="Arial" w:hAnsi="Arial" w:cs="Arial"/>
              </w:rPr>
            </w:pPr>
            <w:r w:rsidRPr="00753957">
              <w:rPr>
                <w:rFonts w:ascii="Arial" w:hAnsi="Arial" w:cs="Arial"/>
              </w:rPr>
              <w:t>Are there any plans to significantly alter the benefit structure of the GEP Fund? Or even move the GEP Fund from a defined benefit fund to a defined contribution fund?</w:t>
            </w:r>
          </w:p>
        </w:tc>
        <w:tc>
          <w:tcPr>
            <w:tcW w:w="7647" w:type="dxa"/>
          </w:tcPr>
          <w:p w:rsidR="009F40CD" w:rsidRPr="009F40CD" w:rsidRDefault="009F40CD" w:rsidP="009F40CD">
            <w:pPr>
              <w:rPr>
                <w:rFonts w:ascii="Arial" w:hAnsi="Arial" w:cs="Arial"/>
              </w:rPr>
            </w:pPr>
            <w:r w:rsidRPr="009F40CD">
              <w:rPr>
                <w:rFonts w:ascii="Arial" w:hAnsi="Arial" w:cs="Arial"/>
              </w:rPr>
              <w:t xml:space="preserve">There are no imminent plans to significantly alter the benefit structure. </w:t>
            </w:r>
          </w:p>
          <w:p w:rsidR="00753957" w:rsidRPr="002F6D14" w:rsidRDefault="00753957">
            <w:pPr>
              <w:rPr>
                <w:rFonts w:ascii="Arial" w:hAnsi="Arial" w:cs="Arial"/>
              </w:rPr>
            </w:pPr>
          </w:p>
        </w:tc>
      </w:tr>
      <w:tr w:rsidR="00753957" w:rsidRPr="002F6D14" w:rsidTr="00490DCD">
        <w:tc>
          <w:tcPr>
            <w:tcW w:w="546" w:type="dxa"/>
          </w:tcPr>
          <w:p w:rsidR="00753957" w:rsidRPr="00490DCD" w:rsidRDefault="00490DCD">
            <w:pPr>
              <w:rPr>
                <w:rFonts w:ascii="Arial" w:hAnsi="Arial" w:cs="Arial"/>
                <w:b/>
              </w:rPr>
            </w:pPr>
            <w:r w:rsidRPr="00490DCD">
              <w:rPr>
                <w:rFonts w:ascii="Arial" w:hAnsi="Arial" w:cs="Arial"/>
                <w:b/>
              </w:rPr>
              <w:t>12</w:t>
            </w:r>
          </w:p>
        </w:tc>
        <w:tc>
          <w:tcPr>
            <w:tcW w:w="6090" w:type="dxa"/>
          </w:tcPr>
          <w:p w:rsidR="00753957" w:rsidRPr="002F6D14" w:rsidRDefault="009F40CD">
            <w:pPr>
              <w:rPr>
                <w:rFonts w:ascii="Arial" w:hAnsi="Arial" w:cs="Arial"/>
              </w:rPr>
            </w:pPr>
            <w:r w:rsidRPr="009F40CD">
              <w:rPr>
                <w:rFonts w:ascii="Arial" w:hAnsi="Arial" w:cs="Arial"/>
              </w:rPr>
              <w:t>How often does the Benefits and Administration Committee meet each year?  How much of the work for each of these meetings is expected to be prepared by the actuarial professionals within the GEP Fund as compared to that expected by the third party service provider? </w:t>
            </w:r>
          </w:p>
        </w:tc>
        <w:tc>
          <w:tcPr>
            <w:tcW w:w="7647" w:type="dxa"/>
          </w:tcPr>
          <w:p w:rsidR="00753957" w:rsidRPr="002F6D14" w:rsidRDefault="009F40CD" w:rsidP="009F40CD">
            <w:pPr>
              <w:rPr>
                <w:rFonts w:ascii="Arial" w:hAnsi="Arial" w:cs="Arial"/>
              </w:rPr>
            </w:pPr>
            <w:r w:rsidRPr="009F40CD">
              <w:rPr>
                <w:rFonts w:ascii="Arial" w:hAnsi="Arial" w:cs="Arial"/>
              </w:rPr>
              <w:t>The Committee meets four times per year. There might be one or two special ad hoc meetings. As indicated on page 10 of the RFP, the GEPF and the service provider will agree on the fee structure before commencement of the appointment. The agreement will consider the proposed fee structure as well as other major GEPF-specific projects not mentioned in the RFP.</w:t>
            </w:r>
          </w:p>
        </w:tc>
      </w:tr>
      <w:tr w:rsidR="00753957" w:rsidRPr="002F6D14" w:rsidTr="00490DCD">
        <w:tc>
          <w:tcPr>
            <w:tcW w:w="546" w:type="dxa"/>
          </w:tcPr>
          <w:p w:rsidR="00753957" w:rsidRPr="00490DCD" w:rsidRDefault="00490DCD">
            <w:pPr>
              <w:rPr>
                <w:rFonts w:ascii="Arial" w:hAnsi="Arial" w:cs="Arial"/>
                <w:b/>
              </w:rPr>
            </w:pPr>
            <w:r w:rsidRPr="00490DCD">
              <w:rPr>
                <w:rFonts w:ascii="Arial" w:hAnsi="Arial" w:cs="Arial"/>
                <w:b/>
              </w:rPr>
              <w:t>13</w:t>
            </w:r>
          </w:p>
        </w:tc>
        <w:tc>
          <w:tcPr>
            <w:tcW w:w="6090" w:type="dxa"/>
          </w:tcPr>
          <w:p w:rsidR="00753957" w:rsidRPr="002F6D14" w:rsidRDefault="009F40CD" w:rsidP="009F40CD">
            <w:pPr>
              <w:rPr>
                <w:rFonts w:ascii="Arial" w:hAnsi="Arial" w:cs="Arial"/>
              </w:rPr>
            </w:pPr>
            <w:r w:rsidRPr="009F40CD">
              <w:rPr>
                <w:rFonts w:ascii="Arial" w:hAnsi="Arial" w:cs="Arial"/>
              </w:rPr>
              <w:t>As part of the tender process, would the GEP Fund's previous actuarial valuation reports be made available to bidding service providers or published on the GEP Fund's website.  We believe that this would beneficial to get a comprehensive idea of the GEP Fund's actuarial position and any other areas and will influence the tender price.</w:t>
            </w:r>
          </w:p>
        </w:tc>
        <w:tc>
          <w:tcPr>
            <w:tcW w:w="7647" w:type="dxa"/>
          </w:tcPr>
          <w:p w:rsidR="009F40CD" w:rsidRPr="009F40CD" w:rsidRDefault="009F40CD" w:rsidP="009F40CD">
            <w:pPr>
              <w:rPr>
                <w:rFonts w:ascii="Arial" w:hAnsi="Arial" w:cs="Arial"/>
              </w:rPr>
            </w:pPr>
            <w:r w:rsidRPr="009F40CD">
              <w:rPr>
                <w:rFonts w:ascii="Arial" w:hAnsi="Arial" w:cs="Arial"/>
              </w:rPr>
              <w:t xml:space="preserve">Please check the GEPF website and the Fund’s annual report. Any information that is not contained in those documents is not in the public domain. </w:t>
            </w:r>
          </w:p>
          <w:p w:rsidR="00753957" w:rsidRPr="002F6D14" w:rsidRDefault="00753957">
            <w:pPr>
              <w:rPr>
                <w:rFonts w:ascii="Arial" w:hAnsi="Arial" w:cs="Arial"/>
              </w:rPr>
            </w:pPr>
          </w:p>
        </w:tc>
      </w:tr>
      <w:tr w:rsidR="00753957" w:rsidRPr="002F6D14" w:rsidTr="00490DCD">
        <w:tc>
          <w:tcPr>
            <w:tcW w:w="546" w:type="dxa"/>
          </w:tcPr>
          <w:p w:rsidR="00753957" w:rsidRPr="00490DCD" w:rsidRDefault="00490DCD">
            <w:pPr>
              <w:rPr>
                <w:rFonts w:ascii="Arial" w:hAnsi="Arial" w:cs="Arial"/>
                <w:b/>
              </w:rPr>
            </w:pPr>
            <w:r w:rsidRPr="00490DCD">
              <w:rPr>
                <w:rFonts w:ascii="Arial" w:hAnsi="Arial" w:cs="Arial"/>
                <w:b/>
              </w:rPr>
              <w:t>14</w:t>
            </w:r>
          </w:p>
        </w:tc>
        <w:tc>
          <w:tcPr>
            <w:tcW w:w="6090" w:type="dxa"/>
          </w:tcPr>
          <w:p w:rsidR="00753957" w:rsidRDefault="000E7E27">
            <w:pPr>
              <w:rPr>
                <w:rFonts w:ascii="Arial" w:hAnsi="Arial" w:cs="Arial"/>
              </w:rPr>
            </w:pPr>
            <w:r w:rsidRPr="000E7E27">
              <w:rPr>
                <w:rFonts w:ascii="Arial" w:hAnsi="Arial" w:cs="Arial"/>
              </w:rPr>
              <w:t>Will there be a public opening of the bids? If so, where and when will this take place?</w:t>
            </w:r>
          </w:p>
          <w:p w:rsidR="000E7E27" w:rsidRDefault="000E7E27">
            <w:pPr>
              <w:rPr>
                <w:rFonts w:ascii="Arial" w:hAnsi="Arial" w:cs="Arial"/>
              </w:rPr>
            </w:pPr>
          </w:p>
          <w:p w:rsidR="000E7E27" w:rsidRDefault="000E7E27">
            <w:pPr>
              <w:rPr>
                <w:rFonts w:ascii="Arial" w:hAnsi="Arial" w:cs="Arial"/>
              </w:rPr>
            </w:pPr>
          </w:p>
          <w:p w:rsidR="000E7E27" w:rsidRDefault="000E7E27">
            <w:pPr>
              <w:rPr>
                <w:rFonts w:ascii="Arial" w:hAnsi="Arial" w:cs="Arial"/>
              </w:rPr>
            </w:pPr>
          </w:p>
          <w:p w:rsidR="000E7E27" w:rsidRPr="002F6D14" w:rsidRDefault="000E7E27">
            <w:pPr>
              <w:rPr>
                <w:rFonts w:ascii="Arial" w:hAnsi="Arial" w:cs="Arial"/>
              </w:rPr>
            </w:pPr>
          </w:p>
        </w:tc>
        <w:tc>
          <w:tcPr>
            <w:tcW w:w="7647" w:type="dxa"/>
          </w:tcPr>
          <w:p w:rsidR="000E7E27" w:rsidRPr="000E7E27" w:rsidRDefault="000E7E27" w:rsidP="000E7E27">
            <w:pPr>
              <w:rPr>
                <w:rFonts w:ascii="Arial" w:hAnsi="Arial" w:cs="Arial"/>
              </w:rPr>
            </w:pPr>
            <w:r w:rsidRPr="000E7E27">
              <w:rPr>
                <w:rFonts w:ascii="Arial" w:hAnsi="Arial" w:cs="Arial"/>
              </w:rPr>
              <w:t>NO</w:t>
            </w:r>
          </w:p>
          <w:p w:rsidR="00753957" w:rsidRPr="002F6D14" w:rsidRDefault="00753957">
            <w:pPr>
              <w:rPr>
                <w:rFonts w:ascii="Arial" w:hAnsi="Arial" w:cs="Arial"/>
              </w:rPr>
            </w:pPr>
          </w:p>
        </w:tc>
      </w:tr>
      <w:tr w:rsidR="00753957" w:rsidRPr="002F6D14" w:rsidTr="00490DCD">
        <w:tc>
          <w:tcPr>
            <w:tcW w:w="546" w:type="dxa"/>
          </w:tcPr>
          <w:p w:rsidR="00753957" w:rsidRPr="00490DCD" w:rsidRDefault="00490DCD">
            <w:pPr>
              <w:rPr>
                <w:rFonts w:ascii="Arial" w:hAnsi="Arial" w:cs="Arial"/>
                <w:b/>
              </w:rPr>
            </w:pPr>
            <w:r w:rsidRPr="00490DCD">
              <w:rPr>
                <w:rFonts w:ascii="Arial" w:hAnsi="Arial" w:cs="Arial"/>
                <w:b/>
              </w:rPr>
              <w:t>15</w:t>
            </w:r>
          </w:p>
          <w:p w:rsidR="00490DCD" w:rsidRPr="00490DCD" w:rsidRDefault="00490DCD">
            <w:pPr>
              <w:rPr>
                <w:rFonts w:ascii="Arial" w:hAnsi="Arial" w:cs="Arial"/>
                <w:b/>
              </w:rPr>
            </w:pPr>
            <w:r w:rsidRPr="00490DCD">
              <w:rPr>
                <w:rFonts w:ascii="Arial" w:hAnsi="Arial" w:cs="Arial"/>
                <w:b/>
              </w:rPr>
              <w:lastRenderedPageBreak/>
              <w:t>16</w:t>
            </w:r>
          </w:p>
        </w:tc>
        <w:tc>
          <w:tcPr>
            <w:tcW w:w="6090" w:type="dxa"/>
          </w:tcPr>
          <w:p w:rsidR="00753957" w:rsidRPr="002F6D14" w:rsidRDefault="000E7E27">
            <w:pPr>
              <w:rPr>
                <w:rFonts w:ascii="Arial" w:hAnsi="Arial" w:cs="Arial"/>
              </w:rPr>
            </w:pPr>
            <w:r w:rsidRPr="000E7E27">
              <w:rPr>
                <w:rFonts w:ascii="Arial" w:hAnsi="Arial" w:cs="Arial"/>
              </w:rPr>
              <w:lastRenderedPageBreak/>
              <w:t xml:space="preserve">With regards to the pricing template on </w:t>
            </w:r>
            <w:proofErr w:type="spellStart"/>
            <w:r w:rsidRPr="000E7E27">
              <w:rPr>
                <w:rFonts w:ascii="Arial" w:hAnsi="Arial" w:cs="Arial"/>
              </w:rPr>
              <w:t>pg</w:t>
            </w:r>
            <w:proofErr w:type="spellEnd"/>
            <w:r w:rsidRPr="000E7E27">
              <w:rPr>
                <w:rFonts w:ascii="Arial" w:hAnsi="Arial" w:cs="Arial"/>
              </w:rPr>
              <w:t xml:space="preserve"> 10, please advise </w:t>
            </w:r>
            <w:r w:rsidRPr="000E7E27">
              <w:rPr>
                <w:rFonts w:ascii="Arial" w:hAnsi="Arial" w:cs="Arial"/>
              </w:rPr>
              <w:lastRenderedPageBreak/>
              <w:t>how you would like inflation to be taken into account. This was also raised as a question during the briefing session.</w:t>
            </w:r>
          </w:p>
        </w:tc>
        <w:tc>
          <w:tcPr>
            <w:tcW w:w="7647" w:type="dxa"/>
          </w:tcPr>
          <w:p w:rsidR="000E7E27" w:rsidRPr="000E7E27" w:rsidRDefault="000E7E27" w:rsidP="000E7E27">
            <w:pPr>
              <w:rPr>
                <w:rFonts w:ascii="Arial" w:hAnsi="Arial" w:cs="Arial"/>
              </w:rPr>
            </w:pPr>
            <w:r w:rsidRPr="000E7E27">
              <w:rPr>
                <w:rFonts w:ascii="Arial" w:hAnsi="Arial" w:cs="Arial"/>
              </w:rPr>
              <w:lastRenderedPageBreak/>
              <w:t xml:space="preserve">Please assume a 6% per annum inflation increase. 6% is the estimated </w:t>
            </w:r>
            <w:r w:rsidRPr="000E7E27">
              <w:rPr>
                <w:rFonts w:ascii="Arial" w:hAnsi="Arial" w:cs="Arial"/>
              </w:rPr>
              <w:lastRenderedPageBreak/>
              <w:t xml:space="preserve">maximum annual CPI based on the Reserve Bank inflation target range of 3%-6%. We recognise that actual inflation may differ from year to year, however we would like all bidders to base their estimates on the same assumptions for ease of comparison in our evaluation of the responses to the tender. </w:t>
            </w:r>
          </w:p>
          <w:p w:rsidR="00753957" w:rsidRPr="002F6D14" w:rsidRDefault="00753957">
            <w:pPr>
              <w:rPr>
                <w:rFonts w:ascii="Arial" w:hAnsi="Arial" w:cs="Arial"/>
              </w:rPr>
            </w:pPr>
          </w:p>
        </w:tc>
      </w:tr>
      <w:tr w:rsidR="00753957" w:rsidRPr="002F6D14" w:rsidTr="00490DCD">
        <w:tc>
          <w:tcPr>
            <w:tcW w:w="546" w:type="dxa"/>
          </w:tcPr>
          <w:p w:rsidR="00753957" w:rsidRPr="00490DCD" w:rsidRDefault="00490DCD">
            <w:pPr>
              <w:rPr>
                <w:rFonts w:ascii="Arial" w:hAnsi="Arial" w:cs="Arial"/>
                <w:b/>
              </w:rPr>
            </w:pPr>
            <w:r w:rsidRPr="00490DCD">
              <w:rPr>
                <w:rFonts w:ascii="Arial" w:hAnsi="Arial" w:cs="Arial"/>
                <w:b/>
              </w:rPr>
              <w:lastRenderedPageBreak/>
              <w:t>17</w:t>
            </w:r>
          </w:p>
        </w:tc>
        <w:tc>
          <w:tcPr>
            <w:tcW w:w="6090" w:type="dxa"/>
          </w:tcPr>
          <w:p w:rsidR="00753957" w:rsidRPr="002F6D14" w:rsidRDefault="000E7E27">
            <w:pPr>
              <w:rPr>
                <w:rFonts w:ascii="Arial" w:hAnsi="Arial" w:cs="Arial"/>
              </w:rPr>
            </w:pPr>
            <w:r w:rsidRPr="000E7E27">
              <w:rPr>
                <w:rFonts w:ascii="Arial" w:hAnsi="Arial" w:cs="Arial"/>
              </w:rPr>
              <w:t>The Pricing schedule on page 10 (SBD3.1) allows for price adjustments, do you prefer a standard price adjustment rate? What would that be?</w:t>
            </w:r>
          </w:p>
        </w:tc>
        <w:tc>
          <w:tcPr>
            <w:tcW w:w="7647" w:type="dxa"/>
          </w:tcPr>
          <w:p w:rsidR="00753957" w:rsidRPr="002F6D14" w:rsidRDefault="000E7E27" w:rsidP="000E7E27">
            <w:pPr>
              <w:rPr>
                <w:rFonts w:ascii="Arial" w:hAnsi="Arial" w:cs="Arial"/>
              </w:rPr>
            </w:pPr>
            <w:r w:rsidRPr="000E7E27">
              <w:rPr>
                <w:rFonts w:ascii="Arial" w:hAnsi="Arial" w:cs="Arial"/>
              </w:rPr>
              <w:t>Bidders can estimate the costs for Year One and then assume an annual increase of 6% per annum for subsequent years. 6% is the estimated maximum annual CPI based on the Reserve Bank inflation target range of 3%-6%. </w:t>
            </w:r>
          </w:p>
        </w:tc>
      </w:tr>
      <w:tr w:rsidR="00753957" w:rsidRPr="002F6D14" w:rsidTr="00490DCD">
        <w:tc>
          <w:tcPr>
            <w:tcW w:w="546" w:type="dxa"/>
          </w:tcPr>
          <w:p w:rsidR="00753957" w:rsidRPr="00490DCD" w:rsidRDefault="00490DCD">
            <w:pPr>
              <w:rPr>
                <w:rFonts w:ascii="Arial" w:hAnsi="Arial" w:cs="Arial"/>
                <w:b/>
              </w:rPr>
            </w:pPr>
            <w:r w:rsidRPr="00490DCD">
              <w:rPr>
                <w:rFonts w:ascii="Arial" w:hAnsi="Arial" w:cs="Arial"/>
                <w:b/>
              </w:rPr>
              <w:t>18</w:t>
            </w:r>
          </w:p>
        </w:tc>
        <w:tc>
          <w:tcPr>
            <w:tcW w:w="6090" w:type="dxa"/>
          </w:tcPr>
          <w:p w:rsidR="00753957" w:rsidRPr="002F6D14" w:rsidRDefault="000E7E27" w:rsidP="000E7E27">
            <w:pPr>
              <w:rPr>
                <w:rFonts w:ascii="Arial" w:hAnsi="Arial" w:cs="Arial"/>
              </w:rPr>
            </w:pPr>
            <w:r w:rsidRPr="000E7E27">
              <w:rPr>
                <w:rFonts w:ascii="Arial" w:hAnsi="Arial" w:cs="Arial"/>
              </w:rPr>
              <w:t xml:space="preserve">A point raised was how to average the cost input in the schedule for Senior Actuary/Valuator – one way would for the bidder to indicate the time split </w:t>
            </w:r>
            <w:proofErr w:type="spellStart"/>
            <w:r w:rsidRPr="000E7E27">
              <w:rPr>
                <w:rFonts w:ascii="Arial" w:hAnsi="Arial" w:cs="Arial"/>
              </w:rPr>
              <w:t>eg</w:t>
            </w:r>
            <w:proofErr w:type="spellEnd"/>
            <w:r w:rsidRPr="000E7E27">
              <w:rPr>
                <w:rFonts w:ascii="Arial" w:hAnsi="Arial" w:cs="Arial"/>
              </w:rPr>
              <w:t>. 60% Senior Actuary hourly rate/40% Valuator hourly rate for instance – do you want a standard split though, and what would that be?</w:t>
            </w:r>
          </w:p>
        </w:tc>
        <w:tc>
          <w:tcPr>
            <w:tcW w:w="7647" w:type="dxa"/>
          </w:tcPr>
          <w:p w:rsidR="000E7E27" w:rsidRDefault="000E7E27" w:rsidP="000E7E27">
            <w:pPr>
              <w:rPr>
                <w:rFonts w:ascii="Arial" w:hAnsi="Arial" w:cs="Arial"/>
              </w:rPr>
            </w:pPr>
            <w:r w:rsidRPr="000E7E27">
              <w:rPr>
                <w:rFonts w:ascii="Arial" w:hAnsi="Arial" w:cs="Arial"/>
              </w:rPr>
              <w:t xml:space="preserve">Bidders should base their estimates on the number of hours given on the table on page 10. For example, for the statutory actuarial valuation, assume 850 hours for the junior student </w:t>
            </w:r>
            <w:r w:rsidRPr="000E7E27">
              <w:rPr>
                <w:rFonts w:ascii="Arial" w:hAnsi="Arial" w:cs="Arial"/>
                <w:i/>
                <w:iCs/>
              </w:rPr>
              <w:t xml:space="preserve">and </w:t>
            </w:r>
            <w:r w:rsidRPr="000E7E27">
              <w:rPr>
                <w:rFonts w:ascii="Arial" w:hAnsi="Arial" w:cs="Arial"/>
              </w:rPr>
              <w:t xml:space="preserve">300 hours for the senior student </w:t>
            </w:r>
            <w:r w:rsidRPr="000E7E27">
              <w:rPr>
                <w:rFonts w:ascii="Arial" w:hAnsi="Arial" w:cs="Arial"/>
                <w:i/>
                <w:iCs/>
              </w:rPr>
              <w:t>and</w:t>
            </w:r>
            <w:r w:rsidRPr="000E7E27">
              <w:rPr>
                <w:rFonts w:ascii="Arial" w:hAnsi="Arial" w:cs="Arial"/>
              </w:rPr>
              <w:t xml:space="preserve"> 175 hours for the actuary/valuator. </w:t>
            </w:r>
          </w:p>
          <w:p w:rsidR="000E7E27" w:rsidRDefault="000E7E27" w:rsidP="000E7E27">
            <w:pPr>
              <w:rPr>
                <w:rFonts w:ascii="Arial" w:hAnsi="Arial" w:cs="Arial"/>
              </w:rPr>
            </w:pPr>
          </w:p>
          <w:p w:rsidR="000E7E27" w:rsidRPr="000E7E27" w:rsidRDefault="000E7E27" w:rsidP="000E7E27">
            <w:pPr>
              <w:rPr>
                <w:rFonts w:ascii="Arial" w:hAnsi="Arial" w:cs="Arial"/>
              </w:rPr>
            </w:pPr>
            <w:r w:rsidRPr="000E7E27">
              <w:rPr>
                <w:rFonts w:ascii="Arial" w:hAnsi="Arial" w:cs="Arial"/>
              </w:rPr>
              <w:t>If a bidder would like to give further/different details of the proposed fee structure (including annual adjustments), this information can be attached to their submission. However, the table on page 10 must be used in order to achieve as generic a fee structure as possible to facilitate comparison for the purposes of this tender.</w:t>
            </w:r>
          </w:p>
          <w:p w:rsidR="000E7E27" w:rsidRPr="000E7E27" w:rsidRDefault="000E7E27" w:rsidP="000E7E27">
            <w:pPr>
              <w:rPr>
                <w:rFonts w:ascii="Arial" w:hAnsi="Arial" w:cs="Arial"/>
              </w:rPr>
            </w:pPr>
          </w:p>
          <w:p w:rsidR="00753957" w:rsidRPr="002F6D14" w:rsidRDefault="00753957">
            <w:pPr>
              <w:rPr>
                <w:rFonts w:ascii="Arial" w:hAnsi="Arial" w:cs="Arial"/>
              </w:rPr>
            </w:pPr>
          </w:p>
        </w:tc>
      </w:tr>
      <w:tr w:rsidR="00753957" w:rsidRPr="002F6D14" w:rsidTr="00490DCD">
        <w:tc>
          <w:tcPr>
            <w:tcW w:w="546" w:type="dxa"/>
          </w:tcPr>
          <w:p w:rsidR="00753957" w:rsidRPr="00490DCD" w:rsidRDefault="00490DCD">
            <w:pPr>
              <w:rPr>
                <w:rFonts w:ascii="Arial" w:hAnsi="Arial" w:cs="Arial"/>
                <w:b/>
              </w:rPr>
            </w:pPr>
            <w:r w:rsidRPr="00490DCD">
              <w:rPr>
                <w:rFonts w:ascii="Arial" w:hAnsi="Arial" w:cs="Arial"/>
                <w:b/>
              </w:rPr>
              <w:t>19</w:t>
            </w:r>
          </w:p>
        </w:tc>
        <w:tc>
          <w:tcPr>
            <w:tcW w:w="6090" w:type="dxa"/>
          </w:tcPr>
          <w:p w:rsidR="00753957" w:rsidRPr="002F6D14" w:rsidRDefault="000E7E27">
            <w:pPr>
              <w:rPr>
                <w:rFonts w:ascii="Arial" w:hAnsi="Arial" w:cs="Arial"/>
              </w:rPr>
            </w:pPr>
            <w:r w:rsidRPr="000E7E27">
              <w:rPr>
                <w:rFonts w:ascii="Arial" w:hAnsi="Arial" w:cs="Arial"/>
              </w:rPr>
              <w:t>The format of the pricing schedule can be reproduced on spreadsheet but duly signed, so that we can input more detail?</w:t>
            </w:r>
          </w:p>
        </w:tc>
        <w:tc>
          <w:tcPr>
            <w:tcW w:w="7647" w:type="dxa"/>
          </w:tcPr>
          <w:p w:rsidR="000E7E27" w:rsidRPr="000E7E27" w:rsidRDefault="000E7E27" w:rsidP="000E7E27">
            <w:pPr>
              <w:rPr>
                <w:rFonts w:ascii="Arial" w:hAnsi="Arial" w:cs="Arial"/>
              </w:rPr>
            </w:pPr>
            <w:r w:rsidRPr="000E7E27">
              <w:rPr>
                <w:rFonts w:ascii="Arial" w:hAnsi="Arial" w:cs="Arial"/>
              </w:rPr>
              <w:t>That will be fine. However, the final submission must be printed.</w:t>
            </w:r>
          </w:p>
          <w:p w:rsidR="00753957" w:rsidRPr="002F6D14" w:rsidRDefault="00753957">
            <w:pPr>
              <w:rPr>
                <w:rFonts w:ascii="Arial" w:hAnsi="Arial" w:cs="Arial"/>
              </w:rPr>
            </w:pPr>
          </w:p>
        </w:tc>
      </w:tr>
      <w:tr w:rsidR="000E7E27" w:rsidRPr="002F6D14" w:rsidTr="00490DCD">
        <w:tc>
          <w:tcPr>
            <w:tcW w:w="546" w:type="dxa"/>
          </w:tcPr>
          <w:p w:rsidR="000E7E27" w:rsidRPr="00490DCD" w:rsidRDefault="00490DCD">
            <w:pPr>
              <w:rPr>
                <w:rFonts w:ascii="Arial" w:hAnsi="Arial" w:cs="Arial"/>
                <w:b/>
              </w:rPr>
            </w:pPr>
            <w:r w:rsidRPr="00490DCD">
              <w:rPr>
                <w:rFonts w:ascii="Arial" w:hAnsi="Arial" w:cs="Arial"/>
                <w:b/>
              </w:rPr>
              <w:t>20</w:t>
            </w:r>
          </w:p>
        </w:tc>
        <w:tc>
          <w:tcPr>
            <w:tcW w:w="6090" w:type="dxa"/>
          </w:tcPr>
          <w:p w:rsidR="000E7E27" w:rsidRPr="000E7E27" w:rsidRDefault="00552353" w:rsidP="00215B0E">
            <w:pPr>
              <w:rPr>
                <w:rFonts w:ascii="Arial" w:hAnsi="Arial" w:cs="Arial"/>
              </w:rPr>
            </w:pPr>
            <w:r w:rsidRPr="00552353">
              <w:rPr>
                <w:rFonts w:ascii="Arial" w:hAnsi="Arial" w:cs="Arial"/>
                <w:lang w:val="en-GB"/>
              </w:rPr>
              <w:t xml:space="preserve">A point raised was how to average the cost input in the schedule for Senior Actuary/Valuator – one way would for the bidder to indicate the time split </w:t>
            </w:r>
            <w:proofErr w:type="spellStart"/>
            <w:r w:rsidRPr="00552353">
              <w:rPr>
                <w:rFonts w:ascii="Arial" w:hAnsi="Arial" w:cs="Arial"/>
                <w:lang w:val="en-GB"/>
              </w:rPr>
              <w:t>eg</w:t>
            </w:r>
            <w:proofErr w:type="spellEnd"/>
            <w:r w:rsidRPr="00552353">
              <w:rPr>
                <w:rFonts w:ascii="Arial" w:hAnsi="Arial" w:cs="Arial"/>
                <w:lang w:val="en-GB"/>
              </w:rPr>
              <w:t>. 60% Senior Actuary hourly rate/40% Valuator hourly rate for instance – do you want a standard split though, and what would that be?</w:t>
            </w:r>
            <w:bookmarkStart w:id="0" w:name="_GoBack"/>
            <w:bookmarkEnd w:id="0"/>
          </w:p>
        </w:tc>
        <w:tc>
          <w:tcPr>
            <w:tcW w:w="7647" w:type="dxa"/>
          </w:tcPr>
          <w:p w:rsidR="00552353" w:rsidRPr="00552353" w:rsidRDefault="00552353" w:rsidP="00552353">
            <w:pPr>
              <w:rPr>
                <w:rFonts w:ascii="Arial" w:hAnsi="Arial" w:cs="Arial"/>
                <w:lang w:val="en-GB"/>
              </w:rPr>
            </w:pPr>
            <w:r w:rsidRPr="00552353">
              <w:rPr>
                <w:rFonts w:ascii="Arial" w:hAnsi="Arial" w:cs="Arial"/>
                <w:lang w:val="en-GB"/>
              </w:rPr>
              <w:t xml:space="preserve">A split of 50% senior actuary and 50% valuator should be applied. </w:t>
            </w:r>
            <w:r w:rsidR="001B5310">
              <w:rPr>
                <w:rFonts w:ascii="Arial" w:hAnsi="Arial" w:cs="Arial"/>
                <w:lang w:val="en-GB"/>
              </w:rPr>
              <w:t>In other words, the average rate for the actuary and the valuator should be used to arrive at the overall fee.</w:t>
            </w:r>
          </w:p>
          <w:p w:rsidR="000E7E27" w:rsidRPr="000E7E27" w:rsidRDefault="00552353" w:rsidP="00215B0E">
            <w:pPr>
              <w:rPr>
                <w:rFonts w:ascii="Arial" w:hAnsi="Arial" w:cs="Arial"/>
              </w:rPr>
            </w:pPr>
            <w:r w:rsidRPr="00552353">
              <w:rPr>
                <w:rFonts w:ascii="Arial" w:hAnsi="Arial" w:cs="Arial"/>
                <w:lang w:val="en-GB"/>
              </w:rPr>
              <w:t>If a bidder would like to give further details of their proposed fee structure, this information can be attached to their submission. However, the table on page 10 must be used in order to achieve as generic a fee structure as possible to facilitate comparison for the purposes of this tender.</w:t>
            </w:r>
          </w:p>
        </w:tc>
      </w:tr>
    </w:tbl>
    <w:p w:rsidR="002F6D14" w:rsidRDefault="002F6D14"/>
    <w:p w:rsidR="002F6D14" w:rsidRDefault="002F6D14"/>
    <w:sectPr w:rsidR="002F6D14" w:rsidSect="002F6D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14"/>
    <w:rsid w:val="000E7E27"/>
    <w:rsid w:val="001B5310"/>
    <w:rsid w:val="00215B0E"/>
    <w:rsid w:val="002F6D14"/>
    <w:rsid w:val="00384CB0"/>
    <w:rsid w:val="00440B56"/>
    <w:rsid w:val="00490DCD"/>
    <w:rsid w:val="00552353"/>
    <w:rsid w:val="0072653A"/>
    <w:rsid w:val="00731341"/>
    <w:rsid w:val="00753957"/>
    <w:rsid w:val="009F40CD"/>
    <w:rsid w:val="00F03412"/>
    <w:rsid w:val="00FF7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6805">
      <w:bodyDiv w:val="1"/>
      <w:marLeft w:val="0"/>
      <w:marRight w:val="0"/>
      <w:marTop w:val="0"/>
      <w:marBottom w:val="0"/>
      <w:divBdr>
        <w:top w:val="none" w:sz="0" w:space="0" w:color="auto"/>
        <w:left w:val="none" w:sz="0" w:space="0" w:color="auto"/>
        <w:bottom w:val="none" w:sz="0" w:space="0" w:color="auto"/>
        <w:right w:val="none" w:sz="0" w:space="0" w:color="auto"/>
      </w:divBdr>
    </w:div>
    <w:div w:id="81076154">
      <w:bodyDiv w:val="1"/>
      <w:marLeft w:val="0"/>
      <w:marRight w:val="0"/>
      <w:marTop w:val="0"/>
      <w:marBottom w:val="0"/>
      <w:divBdr>
        <w:top w:val="none" w:sz="0" w:space="0" w:color="auto"/>
        <w:left w:val="none" w:sz="0" w:space="0" w:color="auto"/>
        <w:bottom w:val="none" w:sz="0" w:space="0" w:color="auto"/>
        <w:right w:val="none" w:sz="0" w:space="0" w:color="auto"/>
      </w:divBdr>
    </w:div>
    <w:div w:id="136801519">
      <w:bodyDiv w:val="1"/>
      <w:marLeft w:val="0"/>
      <w:marRight w:val="0"/>
      <w:marTop w:val="0"/>
      <w:marBottom w:val="0"/>
      <w:divBdr>
        <w:top w:val="none" w:sz="0" w:space="0" w:color="auto"/>
        <w:left w:val="none" w:sz="0" w:space="0" w:color="auto"/>
        <w:bottom w:val="none" w:sz="0" w:space="0" w:color="auto"/>
        <w:right w:val="none" w:sz="0" w:space="0" w:color="auto"/>
      </w:divBdr>
    </w:div>
    <w:div w:id="194126752">
      <w:bodyDiv w:val="1"/>
      <w:marLeft w:val="0"/>
      <w:marRight w:val="0"/>
      <w:marTop w:val="0"/>
      <w:marBottom w:val="0"/>
      <w:divBdr>
        <w:top w:val="none" w:sz="0" w:space="0" w:color="auto"/>
        <w:left w:val="none" w:sz="0" w:space="0" w:color="auto"/>
        <w:bottom w:val="none" w:sz="0" w:space="0" w:color="auto"/>
        <w:right w:val="none" w:sz="0" w:space="0" w:color="auto"/>
      </w:divBdr>
    </w:div>
    <w:div w:id="194661602">
      <w:bodyDiv w:val="1"/>
      <w:marLeft w:val="0"/>
      <w:marRight w:val="0"/>
      <w:marTop w:val="0"/>
      <w:marBottom w:val="0"/>
      <w:divBdr>
        <w:top w:val="none" w:sz="0" w:space="0" w:color="auto"/>
        <w:left w:val="none" w:sz="0" w:space="0" w:color="auto"/>
        <w:bottom w:val="none" w:sz="0" w:space="0" w:color="auto"/>
        <w:right w:val="none" w:sz="0" w:space="0" w:color="auto"/>
      </w:divBdr>
    </w:div>
    <w:div w:id="233778382">
      <w:bodyDiv w:val="1"/>
      <w:marLeft w:val="0"/>
      <w:marRight w:val="0"/>
      <w:marTop w:val="0"/>
      <w:marBottom w:val="0"/>
      <w:divBdr>
        <w:top w:val="none" w:sz="0" w:space="0" w:color="auto"/>
        <w:left w:val="none" w:sz="0" w:space="0" w:color="auto"/>
        <w:bottom w:val="none" w:sz="0" w:space="0" w:color="auto"/>
        <w:right w:val="none" w:sz="0" w:space="0" w:color="auto"/>
      </w:divBdr>
    </w:div>
    <w:div w:id="280457360">
      <w:bodyDiv w:val="1"/>
      <w:marLeft w:val="0"/>
      <w:marRight w:val="0"/>
      <w:marTop w:val="0"/>
      <w:marBottom w:val="0"/>
      <w:divBdr>
        <w:top w:val="none" w:sz="0" w:space="0" w:color="auto"/>
        <w:left w:val="none" w:sz="0" w:space="0" w:color="auto"/>
        <w:bottom w:val="none" w:sz="0" w:space="0" w:color="auto"/>
        <w:right w:val="none" w:sz="0" w:space="0" w:color="auto"/>
      </w:divBdr>
    </w:div>
    <w:div w:id="287323334">
      <w:bodyDiv w:val="1"/>
      <w:marLeft w:val="0"/>
      <w:marRight w:val="0"/>
      <w:marTop w:val="0"/>
      <w:marBottom w:val="0"/>
      <w:divBdr>
        <w:top w:val="none" w:sz="0" w:space="0" w:color="auto"/>
        <w:left w:val="none" w:sz="0" w:space="0" w:color="auto"/>
        <w:bottom w:val="none" w:sz="0" w:space="0" w:color="auto"/>
        <w:right w:val="none" w:sz="0" w:space="0" w:color="auto"/>
      </w:divBdr>
    </w:div>
    <w:div w:id="308436303">
      <w:bodyDiv w:val="1"/>
      <w:marLeft w:val="0"/>
      <w:marRight w:val="0"/>
      <w:marTop w:val="0"/>
      <w:marBottom w:val="0"/>
      <w:divBdr>
        <w:top w:val="none" w:sz="0" w:space="0" w:color="auto"/>
        <w:left w:val="none" w:sz="0" w:space="0" w:color="auto"/>
        <w:bottom w:val="none" w:sz="0" w:space="0" w:color="auto"/>
        <w:right w:val="none" w:sz="0" w:space="0" w:color="auto"/>
      </w:divBdr>
    </w:div>
    <w:div w:id="455366811">
      <w:bodyDiv w:val="1"/>
      <w:marLeft w:val="0"/>
      <w:marRight w:val="0"/>
      <w:marTop w:val="0"/>
      <w:marBottom w:val="0"/>
      <w:divBdr>
        <w:top w:val="none" w:sz="0" w:space="0" w:color="auto"/>
        <w:left w:val="none" w:sz="0" w:space="0" w:color="auto"/>
        <w:bottom w:val="none" w:sz="0" w:space="0" w:color="auto"/>
        <w:right w:val="none" w:sz="0" w:space="0" w:color="auto"/>
      </w:divBdr>
    </w:div>
    <w:div w:id="598295306">
      <w:bodyDiv w:val="1"/>
      <w:marLeft w:val="0"/>
      <w:marRight w:val="0"/>
      <w:marTop w:val="0"/>
      <w:marBottom w:val="0"/>
      <w:divBdr>
        <w:top w:val="none" w:sz="0" w:space="0" w:color="auto"/>
        <w:left w:val="none" w:sz="0" w:space="0" w:color="auto"/>
        <w:bottom w:val="none" w:sz="0" w:space="0" w:color="auto"/>
        <w:right w:val="none" w:sz="0" w:space="0" w:color="auto"/>
      </w:divBdr>
    </w:div>
    <w:div w:id="606355703">
      <w:bodyDiv w:val="1"/>
      <w:marLeft w:val="0"/>
      <w:marRight w:val="0"/>
      <w:marTop w:val="0"/>
      <w:marBottom w:val="0"/>
      <w:divBdr>
        <w:top w:val="none" w:sz="0" w:space="0" w:color="auto"/>
        <w:left w:val="none" w:sz="0" w:space="0" w:color="auto"/>
        <w:bottom w:val="none" w:sz="0" w:space="0" w:color="auto"/>
        <w:right w:val="none" w:sz="0" w:space="0" w:color="auto"/>
      </w:divBdr>
    </w:div>
    <w:div w:id="718406790">
      <w:bodyDiv w:val="1"/>
      <w:marLeft w:val="0"/>
      <w:marRight w:val="0"/>
      <w:marTop w:val="0"/>
      <w:marBottom w:val="0"/>
      <w:divBdr>
        <w:top w:val="none" w:sz="0" w:space="0" w:color="auto"/>
        <w:left w:val="none" w:sz="0" w:space="0" w:color="auto"/>
        <w:bottom w:val="none" w:sz="0" w:space="0" w:color="auto"/>
        <w:right w:val="none" w:sz="0" w:space="0" w:color="auto"/>
      </w:divBdr>
    </w:div>
    <w:div w:id="739865241">
      <w:bodyDiv w:val="1"/>
      <w:marLeft w:val="0"/>
      <w:marRight w:val="0"/>
      <w:marTop w:val="0"/>
      <w:marBottom w:val="0"/>
      <w:divBdr>
        <w:top w:val="none" w:sz="0" w:space="0" w:color="auto"/>
        <w:left w:val="none" w:sz="0" w:space="0" w:color="auto"/>
        <w:bottom w:val="none" w:sz="0" w:space="0" w:color="auto"/>
        <w:right w:val="none" w:sz="0" w:space="0" w:color="auto"/>
      </w:divBdr>
    </w:div>
    <w:div w:id="802505292">
      <w:bodyDiv w:val="1"/>
      <w:marLeft w:val="0"/>
      <w:marRight w:val="0"/>
      <w:marTop w:val="0"/>
      <w:marBottom w:val="0"/>
      <w:divBdr>
        <w:top w:val="none" w:sz="0" w:space="0" w:color="auto"/>
        <w:left w:val="none" w:sz="0" w:space="0" w:color="auto"/>
        <w:bottom w:val="none" w:sz="0" w:space="0" w:color="auto"/>
        <w:right w:val="none" w:sz="0" w:space="0" w:color="auto"/>
      </w:divBdr>
    </w:div>
    <w:div w:id="1013994352">
      <w:bodyDiv w:val="1"/>
      <w:marLeft w:val="0"/>
      <w:marRight w:val="0"/>
      <w:marTop w:val="0"/>
      <w:marBottom w:val="0"/>
      <w:divBdr>
        <w:top w:val="none" w:sz="0" w:space="0" w:color="auto"/>
        <w:left w:val="none" w:sz="0" w:space="0" w:color="auto"/>
        <w:bottom w:val="none" w:sz="0" w:space="0" w:color="auto"/>
        <w:right w:val="none" w:sz="0" w:space="0" w:color="auto"/>
      </w:divBdr>
    </w:div>
    <w:div w:id="1024407432">
      <w:bodyDiv w:val="1"/>
      <w:marLeft w:val="0"/>
      <w:marRight w:val="0"/>
      <w:marTop w:val="0"/>
      <w:marBottom w:val="0"/>
      <w:divBdr>
        <w:top w:val="none" w:sz="0" w:space="0" w:color="auto"/>
        <w:left w:val="none" w:sz="0" w:space="0" w:color="auto"/>
        <w:bottom w:val="none" w:sz="0" w:space="0" w:color="auto"/>
        <w:right w:val="none" w:sz="0" w:space="0" w:color="auto"/>
      </w:divBdr>
    </w:div>
    <w:div w:id="1082215273">
      <w:bodyDiv w:val="1"/>
      <w:marLeft w:val="0"/>
      <w:marRight w:val="0"/>
      <w:marTop w:val="0"/>
      <w:marBottom w:val="0"/>
      <w:divBdr>
        <w:top w:val="none" w:sz="0" w:space="0" w:color="auto"/>
        <w:left w:val="none" w:sz="0" w:space="0" w:color="auto"/>
        <w:bottom w:val="none" w:sz="0" w:space="0" w:color="auto"/>
        <w:right w:val="none" w:sz="0" w:space="0" w:color="auto"/>
      </w:divBdr>
    </w:div>
    <w:div w:id="1242108126">
      <w:bodyDiv w:val="1"/>
      <w:marLeft w:val="0"/>
      <w:marRight w:val="0"/>
      <w:marTop w:val="0"/>
      <w:marBottom w:val="0"/>
      <w:divBdr>
        <w:top w:val="none" w:sz="0" w:space="0" w:color="auto"/>
        <w:left w:val="none" w:sz="0" w:space="0" w:color="auto"/>
        <w:bottom w:val="none" w:sz="0" w:space="0" w:color="auto"/>
        <w:right w:val="none" w:sz="0" w:space="0" w:color="auto"/>
      </w:divBdr>
    </w:div>
    <w:div w:id="1297489455">
      <w:bodyDiv w:val="1"/>
      <w:marLeft w:val="0"/>
      <w:marRight w:val="0"/>
      <w:marTop w:val="0"/>
      <w:marBottom w:val="0"/>
      <w:divBdr>
        <w:top w:val="none" w:sz="0" w:space="0" w:color="auto"/>
        <w:left w:val="none" w:sz="0" w:space="0" w:color="auto"/>
        <w:bottom w:val="none" w:sz="0" w:space="0" w:color="auto"/>
        <w:right w:val="none" w:sz="0" w:space="0" w:color="auto"/>
      </w:divBdr>
    </w:div>
    <w:div w:id="1339844427">
      <w:bodyDiv w:val="1"/>
      <w:marLeft w:val="0"/>
      <w:marRight w:val="0"/>
      <w:marTop w:val="0"/>
      <w:marBottom w:val="0"/>
      <w:divBdr>
        <w:top w:val="none" w:sz="0" w:space="0" w:color="auto"/>
        <w:left w:val="none" w:sz="0" w:space="0" w:color="auto"/>
        <w:bottom w:val="none" w:sz="0" w:space="0" w:color="auto"/>
        <w:right w:val="none" w:sz="0" w:space="0" w:color="auto"/>
      </w:divBdr>
    </w:div>
    <w:div w:id="1343554130">
      <w:bodyDiv w:val="1"/>
      <w:marLeft w:val="0"/>
      <w:marRight w:val="0"/>
      <w:marTop w:val="0"/>
      <w:marBottom w:val="0"/>
      <w:divBdr>
        <w:top w:val="none" w:sz="0" w:space="0" w:color="auto"/>
        <w:left w:val="none" w:sz="0" w:space="0" w:color="auto"/>
        <w:bottom w:val="none" w:sz="0" w:space="0" w:color="auto"/>
        <w:right w:val="none" w:sz="0" w:space="0" w:color="auto"/>
      </w:divBdr>
    </w:div>
    <w:div w:id="1489251868">
      <w:bodyDiv w:val="1"/>
      <w:marLeft w:val="0"/>
      <w:marRight w:val="0"/>
      <w:marTop w:val="0"/>
      <w:marBottom w:val="0"/>
      <w:divBdr>
        <w:top w:val="none" w:sz="0" w:space="0" w:color="auto"/>
        <w:left w:val="none" w:sz="0" w:space="0" w:color="auto"/>
        <w:bottom w:val="none" w:sz="0" w:space="0" w:color="auto"/>
        <w:right w:val="none" w:sz="0" w:space="0" w:color="auto"/>
      </w:divBdr>
    </w:div>
    <w:div w:id="1537155812">
      <w:bodyDiv w:val="1"/>
      <w:marLeft w:val="0"/>
      <w:marRight w:val="0"/>
      <w:marTop w:val="0"/>
      <w:marBottom w:val="0"/>
      <w:divBdr>
        <w:top w:val="none" w:sz="0" w:space="0" w:color="auto"/>
        <w:left w:val="none" w:sz="0" w:space="0" w:color="auto"/>
        <w:bottom w:val="none" w:sz="0" w:space="0" w:color="auto"/>
        <w:right w:val="none" w:sz="0" w:space="0" w:color="auto"/>
      </w:divBdr>
    </w:div>
    <w:div w:id="1678730874">
      <w:bodyDiv w:val="1"/>
      <w:marLeft w:val="0"/>
      <w:marRight w:val="0"/>
      <w:marTop w:val="0"/>
      <w:marBottom w:val="0"/>
      <w:divBdr>
        <w:top w:val="none" w:sz="0" w:space="0" w:color="auto"/>
        <w:left w:val="none" w:sz="0" w:space="0" w:color="auto"/>
        <w:bottom w:val="none" w:sz="0" w:space="0" w:color="auto"/>
        <w:right w:val="none" w:sz="0" w:space="0" w:color="auto"/>
      </w:divBdr>
    </w:div>
    <w:div w:id="1880241512">
      <w:bodyDiv w:val="1"/>
      <w:marLeft w:val="0"/>
      <w:marRight w:val="0"/>
      <w:marTop w:val="0"/>
      <w:marBottom w:val="0"/>
      <w:divBdr>
        <w:top w:val="none" w:sz="0" w:space="0" w:color="auto"/>
        <w:left w:val="none" w:sz="0" w:space="0" w:color="auto"/>
        <w:bottom w:val="none" w:sz="0" w:space="0" w:color="auto"/>
        <w:right w:val="none" w:sz="0" w:space="0" w:color="auto"/>
      </w:divBdr>
    </w:div>
    <w:div w:id="1891189350">
      <w:bodyDiv w:val="1"/>
      <w:marLeft w:val="0"/>
      <w:marRight w:val="0"/>
      <w:marTop w:val="0"/>
      <w:marBottom w:val="0"/>
      <w:divBdr>
        <w:top w:val="none" w:sz="0" w:space="0" w:color="auto"/>
        <w:left w:val="none" w:sz="0" w:space="0" w:color="auto"/>
        <w:bottom w:val="none" w:sz="0" w:space="0" w:color="auto"/>
        <w:right w:val="none" w:sz="0" w:space="0" w:color="auto"/>
      </w:divBdr>
    </w:div>
    <w:div w:id="19654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Ramoroka</dc:creator>
  <cp:lastModifiedBy>William Ramoroka</cp:lastModifiedBy>
  <cp:revision>2</cp:revision>
  <dcterms:created xsi:type="dcterms:W3CDTF">2017-08-04T11:15:00Z</dcterms:created>
  <dcterms:modified xsi:type="dcterms:W3CDTF">2017-08-04T11:15:00Z</dcterms:modified>
</cp:coreProperties>
</file>